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2D9217CB-CC44-4719-822F-E431700C3440" style="width:450.45pt;height:320.85pt">
            <v:imagedata r:id="rId13" o:title=""/>
          </v:shape>
        </w:pict>
      </w:r>
    </w:p>
    <w:bookmarkEnd w:id="0"/>
    <w:p>
      <w:pPr>
        <w:rPr>
          <w:rFonts w:ascii="Times New Roman" w:hAnsi="Times New Roman" w:cs="Times New Roman"/>
          <w:noProof/>
        </w:rPr>
        <w:sectPr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Strateġija Ewropea għad-</w:t>
      </w:r>
      <w:r>
        <w:rPr>
          <w:rFonts w:ascii="Times New Roman" w:hAnsi="Times New Roman"/>
          <w:b/>
          <w:i/>
          <w:noProof/>
        </w:rPr>
        <w:t>data</w:t>
      </w:r>
    </w:p>
    <w:p>
      <w:pPr>
        <w:pStyle w:val="ListParagraph"/>
        <w:numPr>
          <w:ilvl w:val="0"/>
          <w:numId w:val="7"/>
        </w:numPr>
        <w:ind w:left="714" w:hanging="357"/>
        <w:contextualSpacing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Introduzzjoni</w:t>
      </w:r>
    </w:p>
    <w:p>
      <w:pPr>
        <w:pStyle w:val="Default"/>
        <w:spacing w:after="200" w:line="276" w:lineRule="auto"/>
        <w:jc w:val="both"/>
        <w:rPr>
          <w:rFonts w:ascii="Times New Roman" w:hAnsi="Times New Roman" w:cs="Times New Roman"/>
          <w:noProof/>
        </w:rPr>
      </w:pPr>
      <w:r>
        <w:rPr>
          <w:rStyle w:val="Nessuno"/>
          <w:rFonts w:ascii="Times New Roman" w:hAnsi="Times New Roman"/>
          <w:noProof/>
        </w:rPr>
        <w:t>Tul l-aħħar ftit snin, it-teknoloġiji diġitali biddlu l-ekonomija u s-soċjetà tagħna, u affettwaw lis-setturi kollha tal-attività u l-ħajja ta’ kuljum tal-Ewropej kollha. Id-</w:t>
      </w:r>
      <w:r>
        <w:rPr>
          <w:rStyle w:val="Nessuno"/>
          <w:rFonts w:ascii="Times New Roman" w:hAnsi="Times New Roman"/>
          <w:i/>
          <w:noProof/>
        </w:rPr>
        <w:t>data</w:t>
      </w:r>
      <w:r>
        <w:rPr>
          <w:rStyle w:val="Nessuno"/>
          <w:rFonts w:ascii="Times New Roman" w:hAnsi="Times New Roman"/>
          <w:noProof/>
        </w:rPr>
        <w:t xml:space="preserve"> tinsab fil-qalba nett ta’ din it-trasformazzjoni, u dan għadu biss il-bidu. </w:t>
      </w:r>
      <w:r>
        <w:rPr>
          <w:rFonts w:ascii="Times New Roman" w:hAnsi="Times New Roman"/>
          <w:noProof/>
        </w:rPr>
        <w:t>L-innovazzjoni mmexxija mid-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se toħloq benefiċċji kbar għaċ-ċittadini, fosthom b’mediċina personalizzata aħjar, b’mobbiltà ġdida u bil-kontribut tagħha għall-Patt Ekoloġiku Ewropew. Issa li n-nies qed kulma jmur jiġġeneraw ammonti dejjem akbar ta’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, il-mod kif tinġabar u tintuża 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fis-soċjetà tagħna għandu jpoġġi l-interessi tal-individwu qabel kollox, u dan b’rispett lejn il-valuri, id-drittijiet fundamentali, u r-regoli Ewropej.</w:t>
      </w:r>
      <w:r>
        <w:rPr>
          <w:rFonts w:ascii="Times New Roman" w:hAnsi="Times New Roman"/>
          <w:noProof/>
          <w:sz w:val="22"/>
          <w:szCs w:val="22"/>
        </w:rPr>
        <w:t xml:space="preserve"> </w:t>
      </w:r>
      <w:r>
        <w:rPr>
          <w:rFonts w:ascii="Times New Roman" w:hAnsi="Times New Roman"/>
          <w:noProof/>
        </w:rPr>
        <w:t>Iċ-</w:t>
      </w:r>
      <w:r>
        <w:rPr>
          <w:rFonts w:ascii="Times New Roman" w:hAnsi="Times New Roman"/>
          <w:noProof/>
          <w:sz w:val="22"/>
          <w:szCs w:val="22"/>
        </w:rPr>
        <w:t>ċ</w:t>
      </w:r>
      <w:r>
        <w:rPr>
          <w:rFonts w:ascii="Times New Roman" w:hAnsi="Times New Roman"/>
          <w:noProof/>
        </w:rPr>
        <w:t>ittadini lesti jafdaw u jilqgħu l-innovazzjonijiet immexxija mid-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biss jekk dawn ikollhom rashom mistrieħa li kull kondiviżjoni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personali fl-UE tkun konformi bis-sħiħ mar-regoli stretti tal-UE dwar il-protezzjoni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. Fl-istess ħin, il-volum dejjem akbar ta’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industrijali mhux personali u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pubblika fl-Ewropa, </w:t>
      </w:r>
      <w:r>
        <w:rPr>
          <w:rStyle w:val="Nessuno"/>
          <w:rFonts w:ascii="Times New Roman" w:hAnsi="Times New Roman"/>
          <w:noProof/>
        </w:rPr>
        <w:t>flimkien mal-bidla teknoloġika fil-mod kif tinħażen u tiġi pproċessata d-</w:t>
      </w:r>
      <w:r>
        <w:rPr>
          <w:rStyle w:val="Nessuno"/>
          <w:rFonts w:ascii="Times New Roman" w:hAnsi="Times New Roman"/>
          <w:i/>
          <w:noProof/>
        </w:rPr>
        <w:t>data</w:t>
      </w:r>
      <w:r>
        <w:rPr>
          <w:rStyle w:val="Nessuno"/>
          <w:rFonts w:ascii="Times New Roman" w:hAnsi="Times New Roman"/>
          <w:noProof/>
        </w:rPr>
        <w:t>,</w:t>
      </w:r>
      <w:r>
        <w:rPr>
          <w:rFonts w:ascii="Times New Roman" w:hAnsi="Times New Roman"/>
          <w:noProof/>
        </w:rPr>
        <w:t xml:space="preserve"> se jkun sors potenzjali ta’ tkabbir u innovazzjoni li jenħtieġ jiġi sfruttat. </w:t>
      </w:r>
    </w:p>
    <w:p>
      <w:pPr>
        <w:pStyle w:val="Default"/>
        <w:spacing w:after="200" w:line="276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Iċ-ċittadini jenħtieġ jingħataw is-setgħa li jieħdu deċiżjonijiet aħjar ibbażati fuq għarfien miksub minn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mhux personali. U 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jenħtieġ tkun disponibbli għal kulħadd – sew min hu pubbliku jew privat, kbir jew żgħir, ġdid jew ġgant. Dan jgħin lis-soċjetà tisfrutta l-innovazzjoni u l-kompetizzjoni bl-aħjar mod u jiżgura li kulħadd igawdi minn xi dividend diġitali. Din l-Ewropa diġitali jenħtieġ tkun tixhed l-aqwa karatteristiċi tal-Ewropa – miftuħa, ġusta, demokratika u fiduċjuża.</w:t>
      </w:r>
    </w:p>
    <w:p>
      <w:pPr>
        <w:pStyle w:val="Default"/>
        <w:spacing w:after="200" w:line="276" w:lineRule="auto"/>
        <w:jc w:val="both"/>
        <w:rPr>
          <w:rFonts w:ascii="Times New Roman" w:hAnsi="Times New Roman" w:cs="Times New Roman"/>
          <w:noProof/>
        </w:rPr>
      </w:pPr>
      <w:r>
        <w:rPr>
          <w:rStyle w:val="Nessuno"/>
          <w:rFonts w:ascii="Times New Roman" w:hAnsi="Times New Roman"/>
          <w:noProof/>
        </w:rPr>
        <w:t xml:space="preserve">L-UE tista’ </w:t>
      </w:r>
      <w:r>
        <w:rPr>
          <w:rStyle w:val="Nessuno"/>
          <w:rFonts w:ascii="Times New Roman" w:hAnsi="Times New Roman"/>
          <w:b/>
          <w:noProof/>
        </w:rPr>
        <w:t>ssir mudell ewlieni għal soċjetà mmexxija mid-</w:t>
      </w:r>
      <w:r>
        <w:rPr>
          <w:rStyle w:val="Nessuno"/>
          <w:rFonts w:ascii="Times New Roman" w:hAnsi="Times New Roman"/>
          <w:b/>
          <w:i/>
          <w:noProof/>
        </w:rPr>
        <w:t>data</w:t>
      </w:r>
      <w:r>
        <w:rPr>
          <w:rStyle w:val="Nessuno"/>
          <w:rFonts w:ascii="Times New Roman" w:hAnsi="Times New Roman"/>
          <w:b/>
          <w:noProof/>
        </w:rPr>
        <w:t xml:space="preserve"> li tieħu deċiżjonijiet aħjar – fis-settur tan-negozji u fis-settur pubbliku</w:t>
      </w:r>
      <w:r>
        <w:rPr>
          <w:rStyle w:val="Nessuno"/>
          <w:rFonts w:ascii="Times New Roman" w:hAnsi="Times New Roman"/>
          <w:noProof/>
        </w:rPr>
        <w:t>. Biex tilħaq din l-ambizzjoni, l-UE tista’ tibni qafas legali sod – mil-lat ta’ protezzjoni tad-</w:t>
      </w:r>
      <w:r>
        <w:rPr>
          <w:rStyle w:val="Nessuno"/>
          <w:rFonts w:ascii="Times New Roman" w:hAnsi="Times New Roman"/>
          <w:i/>
          <w:noProof/>
        </w:rPr>
        <w:t>data</w:t>
      </w:r>
      <w:r>
        <w:rPr>
          <w:rStyle w:val="Nessuno"/>
          <w:rFonts w:ascii="Times New Roman" w:hAnsi="Times New Roman"/>
          <w:noProof/>
        </w:rPr>
        <w:t>, drittijiet fundamentali, sikurezza u ċibersigurtà – u s-suq intern tagħha b’kumpaniji kompetittivi ta’ kull daqs u b’bażi industrijali varjata. Jekk l-UE trid tikseb rwol ewlieni fl-ekonomija tad-</w:t>
      </w:r>
      <w:r>
        <w:rPr>
          <w:rStyle w:val="Nessuno"/>
          <w:rFonts w:ascii="Times New Roman" w:hAnsi="Times New Roman"/>
          <w:i/>
          <w:noProof/>
        </w:rPr>
        <w:t>data</w:t>
      </w:r>
      <w:r>
        <w:rPr>
          <w:rStyle w:val="Nessuno"/>
          <w:rFonts w:ascii="Times New Roman" w:hAnsi="Times New Roman"/>
          <w:noProof/>
        </w:rPr>
        <w:t>, trid taġixxi issa u</w:t>
      </w:r>
      <w:r>
        <w:rPr>
          <w:rFonts w:ascii="Times New Roman" w:hAnsi="Times New Roman"/>
          <w:noProof/>
        </w:rPr>
        <w:t xml:space="preserve"> tindirizza ċerti kwistjonijiet, b’mod miftiehem, li jvarjaw mill-konnettività għall-ipproċessar u l-ħżin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, il-qawwa tal-computing u ċ-ċibersigurtà. </w:t>
      </w:r>
      <w:r>
        <w:rPr>
          <w:rStyle w:val="Nessuno"/>
          <w:rFonts w:ascii="Times New Roman" w:hAnsi="Times New Roman"/>
          <w:noProof/>
        </w:rPr>
        <w:t>Barra minn hekk, l-UE trid ittejjeb l-istrutturi tal-governanza tagħha għall-immaniġġar tad-</w:t>
      </w:r>
      <w:r>
        <w:rPr>
          <w:rStyle w:val="Nessuno"/>
          <w:rFonts w:ascii="Times New Roman" w:hAnsi="Times New Roman"/>
          <w:i/>
          <w:noProof/>
        </w:rPr>
        <w:t>data</w:t>
      </w:r>
      <w:r>
        <w:rPr>
          <w:rStyle w:val="Nessuno"/>
          <w:rFonts w:ascii="Times New Roman" w:hAnsi="Times New Roman"/>
          <w:noProof/>
        </w:rPr>
        <w:t xml:space="preserve"> u biex iżżid </w:t>
      </w:r>
      <w:r>
        <w:rPr>
          <w:rFonts w:ascii="Times New Roman" w:hAnsi="Times New Roman"/>
          <w:noProof/>
        </w:rPr>
        <w:t xml:space="preserve"> il-ġabriet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ta’ kwalità tagħha li huma disponibbli għall-użu u għall-użu mill-ġdid. </w:t>
      </w:r>
    </w:p>
    <w:p>
      <w:pPr>
        <w:jc w:val="both"/>
        <w:rPr>
          <w:rStyle w:val="Nessuno"/>
          <w:rFonts w:ascii="Times New Roman" w:hAnsi="Times New Roman" w:cs="Times New Roman"/>
          <w:noProof/>
        </w:rPr>
      </w:pPr>
      <w:r>
        <w:rPr>
          <w:rStyle w:val="Nessuno"/>
          <w:rFonts w:ascii="Times New Roman" w:hAnsi="Times New Roman"/>
          <w:noProof/>
        </w:rPr>
        <w:t>Fl-aħħar nett, l-Ewropa trid tisfrutta l-benefiċċji minn użu aħjar tad-</w:t>
      </w:r>
      <w:r>
        <w:rPr>
          <w:rStyle w:val="Nessuno"/>
          <w:rFonts w:ascii="Times New Roman" w:hAnsi="Times New Roman"/>
          <w:i/>
          <w:noProof/>
        </w:rPr>
        <w:t>data</w:t>
      </w:r>
      <w:r>
        <w:rPr>
          <w:rStyle w:val="Nessuno"/>
          <w:rFonts w:ascii="Times New Roman" w:hAnsi="Times New Roman"/>
          <w:noProof/>
        </w:rPr>
        <w:t>, fosthom aktar produttività u swieq kompetittivi, iżda anki t-titjib fis-saħħa u l-benesseri, fl-ambjent, fil-governanza t-tajba u fis-servizzi pubbliċi konvenjenti. Il-miżuri stabbiliti f’dan id-dokument jgħinu biex jinkiseb approċċ komprensiv għall-ekonomija tad-</w:t>
      </w:r>
      <w:r>
        <w:rPr>
          <w:rStyle w:val="Nessuno"/>
          <w:rFonts w:ascii="Times New Roman" w:hAnsi="Times New Roman"/>
          <w:i/>
          <w:noProof/>
        </w:rPr>
        <w:t>data</w:t>
      </w:r>
      <w:r>
        <w:rPr>
          <w:rStyle w:val="Nessuno"/>
          <w:rFonts w:ascii="Times New Roman" w:hAnsi="Times New Roman"/>
          <w:noProof/>
        </w:rPr>
        <w:t xml:space="preserve"> ħalli jiżdied l-użu tal-prodotti u s-servizzi tad-</w:t>
      </w:r>
      <w:r>
        <w:rPr>
          <w:rStyle w:val="Nessuno"/>
          <w:rFonts w:ascii="Times New Roman" w:hAnsi="Times New Roman"/>
          <w:i/>
          <w:noProof/>
        </w:rPr>
        <w:t>data</w:t>
      </w:r>
      <w:r>
        <w:rPr>
          <w:rStyle w:val="Nessuno"/>
          <w:rFonts w:ascii="Times New Roman" w:hAnsi="Times New Roman"/>
          <w:noProof/>
        </w:rPr>
        <w:t xml:space="preserve"> u ffaċilitati mid-</w:t>
      </w:r>
      <w:r>
        <w:rPr>
          <w:rStyle w:val="Nessuno"/>
          <w:rFonts w:ascii="Times New Roman" w:hAnsi="Times New Roman"/>
          <w:i/>
          <w:noProof/>
        </w:rPr>
        <w:t>data</w:t>
      </w:r>
      <w:r>
        <w:rPr>
          <w:rStyle w:val="Nessuno"/>
          <w:rFonts w:ascii="Times New Roman" w:hAnsi="Times New Roman"/>
          <w:noProof/>
        </w:rPr>
        <w:t xml:space="preserve"> fis-Suq Uniku kollu, u tiżdied ukoll id-domanda għalihom.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Din il-Komunikazzjoni tiddeskrivi strateġija għal miżuri ta’ politika u investimenti għall-ekonomija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għall-ħames snin li ġejjin. Din l-istrateġija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hi ppreżentata fl-istess waqt mal-Komunikazzjoni tal-Kummissjoni msejħa “Insawru l-futur diġitali tal-Ewropa” u mal-White Paper dwar l-intelliġenza artifiċjali li tispjega kif il-Kummissjoni se tappoġġa u tippromwovi l-iżvilupp u l-użu tal-intelliġenza artifiċjali fl-UE kollha. </w:t>
      </w:r>
    </w:p>
    <w:p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Abbażi ta’ din l-istrateġija, il-Kummissjoni qed tniedi konsultazzjoni komprensiva dwar il-miżuri speċifiċi li jistgħu jittieħdu biex l-UE tibqa’ fuq quddiem nett fl-ekonomija aġli mil-lat ta’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, filwaqt li tirrispetta u tippromwovi l-valuri fundamentali li huma l-pedament tas-soċjetajiet Ewropej.</w:t>
      </w:r>
    </w:p>
    <w:p>
      <w:pPr>
        <w:pStyle w:val="ListParagraph"/>
        <w:keepNext/>
        <w:numPr>
          <w:ilvl w:val="0"/>
          <w:numId w:val="7"/>
        </w:numPr>
        <w:ind w:left="714" w:hanging="357"/>
        <w:contextualSpacing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Dan x’jinvolvi?</w:t>
      </w:r>
    </w:p>
    <w:p>
      <w:pPr>
        <w:pStyle w:val="ListParagraph"/>
        <w:keepNext/>
        <w:spacing w:after="120"/>
        <w:ind w:left="0"/>
        <w:contextualSpacing w:val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</w:rPr>
        <w:t>Volumi tad-</w:t>
      </w:r>
      <w:r>
        <w:rPr>
          <w:rFonts w:ascii="Times New Roman" w:hAnsi="Times New Roman"/>
          <w:noProof/>
        </w:rPr>
        <w:t>data</w:t>
      </w:r>
      <w:r>
        <w:rPr>
          <w:rFonts w:ascii="Times New Roman" w:hAnsi="Times New Roman"/>
          <w:i/>
          <w:noProof/>
        </w:rPr>
        <w:t xml:space="preserve"> dejjem akbar u bidla teknoloġika</w:t>
      </w:r>
    </w:p>
    <w:p>
      <w:pPr>
        <w:pStyle w:val="ListParagraph"/>
        <w:ind w:left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Il-volum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ġġenerata fid-dinja qed kulma jmur jikber, minn 33 zettabyte fl-2018 għall-175 zettabyte mistennija fl-2025</w:t>
      </w:r>
      <w:r>
        <w:rPr>
          <w:rStyle w:val="FootnoteReference"/>
          <w:rFonts w:ascii="Times New Roman" w:hAnsi="Times New Roman" w:cs="Times New Roman"/>
          <w:noProof/>
        </w:rPr>
        <w:footnoteReference w:id="2"/>
      </w:r>
      <w:r>
        <w:rPr>
          <w:rFonts w:ascii="Times New Roman" w:hAnsi="Times New Roman"/>
          <w:noProof/>
        </w:rPr>
        <w:t>. Kull mewġa ġdida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tfisser opportunitajiet kbar għall-UE biex issir mexxejja dinjija f’dan il-qasam. Barra minn hekk, fil-ħames (5) snin li ġejjin se jinbidel mill-qiegħ il-mod kif tinħażen u tiġi pproċessata 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. Daż-żmien, 80 % tal-ipproċessar u l-analiżi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jseħħu fiċ-ċentri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u f’faċilitajiet ċentralizzati tal-computing, u 20 % jseħħu f’oġġetti konnessi intelliġenti, bħal karozzi, tagħmir tad-dar jew robots tal-manifattura, u f’faċilitajiet tal-computing qrib l-utent (“l-edge computing”). Sal-2025, dawn il-proporzjonijiet aktarx ikunu bil-maqlub</w:t>
      </w:r>
      <w:r>
        <w:rPr>
          <w:rStyle w:val="FootnoteReference"/>
          <w:rFonts w:ascii="Times New Roman" w:hAnsi="Times New Roman" w:cs="Times New Roman"/>
          <w:noProof/>
        </w:rPr>
        <w:footnoteReference w:id="3"/>
      </w:r>
      <w:r>
        <w:rPr>
          <w:rFonts w:ascii="Times New Roman" w:hAnsi="Times New Roman"/>
          <w:noProof/>
        </w:rPr>
        <w:t>. Minbarra l-vantaġġi ekonomiċi u tas-sostenibbiltà li għandu dan l-iżvilupp, dan jiftaħ bibien ġodda ta’ opportunitajiet għan-negozji biex jiżviluppaw għodod għall-produtturi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ħalli jżidu l-kontroll fuq 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tagħhom.</w:t>
      </w:r>
    </w:p>
    <w:p>
      <w:pPr>
        <w:pStyle w:val="ListParagraph"/>
        <w:keepNext/>
        <w:spacing w:after="120"/>
        <w:ind w:left="0"/>
        <w:contextualSpacing w:val="0"/>
        <w:jc w:val="both"/>
        <w:outlineLvl w:val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</w:rPr>
        <w:t>L-importanza tad-</w:t>
      </w:r>
      <w:r>
        <w:rPr>
          <w:rFonts w:ascii="Times New Roman" w:hAnsi="Times New Roman"/>
          <w:noProof/>
        </w:rPr>
        <w:t>data</w:t>
      </w:r>
      <w:r>
        <w:rPr>
          <w:rFonts w:ascii="Times New Roman" w:hAnsi="Times New Roman"/>
          <w:i/>
          <w:noProof/>
        </w:rPr>
        <w:t xml:space="preserve"> għall-ekonomija u għas-soċjetà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se ssawwar mill-ġdid il-mod kif nipproduċu, nikkonsmaw u ngħixu. Il-benefiċċji se jinħassu f’kull aspett ta’ ħajjitna, minn konsum aktar konxju tal-enerġija, u traċċabbiltà tal-prodotti, tal-materjali u tal-ikel, għal ħajjiet aktar sani u kura tas-saħħa aħjar.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</w:rPr>
        <w:t xml:space="preserve">Il-mediċina personalizzata </w:t>
      </w:r>
      <w:r>
        <w:rPr>
          <w:rFonts w:ascii="Times New Roman" w:hAnsi="Times New Roman"/>
          <w:bCs/>
          <w:i/>
          <w:iCs/>
          <w:noProof/>
        </w:rPr>
        <w:t>tista’ tirrispondi aħjar għall-ħtiġijiet tal-pazjenti għax it-tobba se jkunu jistgħu jieħdu deċiżjonijiet permezz tad-</w:t>
      </w:r>
      <w:r>
        <w:rPr>
          <w:rFonts w:ascii="Times New Roman" w:hAnsi="Times New Roman"/>
          <w:noProof/>
        </w:rPr>
        <w:t>data</w:t>
      </w:r>
      <w:r>
        <w:rPr>
          <w:rFonts w:ascii="Times New Roman" w:hAnsi="Times New Roman"/>
          <w:bCs/>
          <w:i/>
          <w:iCs/>
          <w:noProof/>
        </w:rPr>
        <w:t>. B’hekk tkun tista’ titfassal l-istrateġija terapewtika t-tajba skont il-ħtiġijiet it-tajba tal-persuna fil-mument it-tajjeb, u/jew tinstab predispożizzjoni għal xi mard u/jew tingħata kura preventiva fil-ħin u mmirata.</w:t>
      </w:r>
    </w:p>
    <w:p>
      <w:pPr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hi n-nifs tal-iżvilupp ekonomiku: hi l-bażi ta’ ħafna prodotti u servizzi ġodda, li tixpruna gwadanji mill-produttività u mill-effiċjenza tar-riżorsi fis-setturi kollha tal-ekonomija, u b’hekk il-prodotti u s-servizzi jistgħu jkunu aktar personalizzati, it-tfassil tal-politika jsir aħjar u jitjiebu s-servizzi governattivi. Hi riżorsa essenzjali għan-negozji ġodda u għall-intrapriżi żgħar u medji (l-SMEs) meta jiġu biex jiżviluppaw il-prodotti u s-servizzi. Id-disponibbiltà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hi meħtieġa għat-taħriġ tas-sistemi tal-intelliġenza artifiċjali, fejn il-prodotti u s-servizzi jimxu malajr minn rikonoxximent tal-patterns u ġenerazzjoni ta’ informazzjoni intwittiva għal tekniki aktar sofistikati tat-tbassir, u għalhekk għal deċiżjonijiet aħjar.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se twassal għal implimentazzjoni wiesgħa ta’ prattiki trasformattivi bħall-użu tat-tewmin diġitali fil-manifattura.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</w:rPr>
        <w:t>It-tewmin diġitali joħolqu replika virtwali ta’ prodott fiżiku, proċess jew sistema. Ngħidu aħna, ir-repliki jistgħu jużaw l-analiżi tad-</w:t>
      </w:r>
      <w:r>
        <w:rPr>
          <w:rFonts w:ascii="Times New Roman" w:hAnsi="Times New Roman"/>
          <w:noProof/>
        </w:rPr>
        <w:t>data</w:t>
      </w:r>
      <w:r>
        <w:rPr>
          <w:rFonts w:ascii="Times New Roman" w:hAnsi="Times New Roman"/>
          <w:i/>
          <w:noProof/>
        </w:rPr>
        <w:t xml:space="preserve"> biex ibassru meta magna tkun se tieqaf taħdem sew, u b’hekk tkun tista’ tiżdied il-produttività permezz tal-manutenzjoni preventiva.</w:t>
      </w:r>
    </w:p>
    <w:p>
      <w:pPr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</w:rPr>
        <w:t xml:space="preserve">Minbarra dan, hu essenzjali li aktar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ssir disponibbli u li jitjieb il-mod kif tintuża 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ħalli jiġu indirizzati l-isfidi tas-soċjetà relatati mal-klima u mal-ambjent, u dan jgħin biex ikollna soċjetajiet aktar sani, aktar prosperi u aktar sostenibbli. Pereżempju, dan iwassal għal politiki aħjar biex jintlaħqu l-għanijiet tal-Patt Ekoloġiku Ewropew. Fl-istess ħin, hu stmat li l-impronta ambjentali attwali tas-settur tal-ICT tikkostitwixxi bejn il-5 u d-9 % tal-użu totali tal-elettriku madwar id-dinja, u aktar minn 2 % tal-emissjonijiet kollha, li ħafna minnhom huma dovuti għaċ-ċentri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, is-servizzi tal-cloud u l-konnettività. L-istrateġija diġitali tal-UE “Insawru l-futur diġitali tal-Ewropa” tipproponi miżuri ta’ trasformazzjoni ekoloġika għas-settur tal-ICT.</w:t>
      </w:r>
    </w:p>
    <w:p>
      <w:pPr>
        <w:keepNext/>
        <w:jc w:val="both"/>
        <w:outlineLvl w:val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</w:rPr>
        <w:t>L-UE għandha sehem kbir fl-ekonomija tad-</w:t>
      </w:r>
      <w:r>
        <w:rPr>
          <w:rFonts w:ascii="Times New Roman" w:hAnsi="Times New Roman"/>
          <w:noProof/>
        </w:rPr>
        <w:t>data</w:t>
      </w:r>
      <w:r>
        <w:rPr>
          <w:rFonts w:ascii="Times New Roman" w:hAnsi="Times New Roman"/>
          <w:i/>
          <w:noProof/>
        </w:rPr>
        <w:t xml:space="preserve"> tal-ġejjieni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Bħalissa, il-biċċa l-kbira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fid-dinja tinsab f’idejn għadd żgħir ta’ kumpaniji tal-Big Tech. Għalkemm dan jaf inaqqas l-inċentivi biex jiftħu negozji ġodda mmexxija mid-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, biex jikbru u biex jinnovaw fl-UE, xorta għandna opportunitajiet kbar. Il-biċċa l-kbira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tal-ġejjieni se tinkiseb b’applikazzjonijiet industrijali u professjonali, oqsma ta’ interess pubbliku jew b’applikazzjonijiet tal-Internet tal-Oġġetti tal-ħajja ta’ kuljum, oqsma li l-UE hi b’saħħitha fihom. L-opportunitajiet se jinħolqu wkoll mill-bidla teknoloġika, b’perspettivi ġodda għan-negozji Ewropej f’oqsma bħall-cloud fl-edge computing, minn soluzzjonijiet diġitali għal applikazzjonijiet kritiċi tas-sikurezza, u anki mill-computing kwantistiku. Dawn it-tendenzi juri li r-rebbieħa tal-lum mhux bilfors ikunu r-rebbieħa tal-ġejjieni. Iżda s-sorsi tal-kompetittività għad-deċennji li ġejjin fl-ekonomija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huma ddeterminati llum. U għalhekk l-UE jenħtieġ taġixxi issa.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L-UE għandha l-potenzjal li tirnexxi fl-ekonomija aġli mil-lat ta’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. Għandha t-teknoloġija, l-għarfien u forza tax-xogħol b’ħiliet ta’ livell għoli. Iżda l-kompetituri bħaċ-Ċina u l-Istati Uniti diġà qed jinnovaw malajr u jipprojettaw il-kunċetti tagħhom tal-aċċess u l-użu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madwar id-dinja. Fl-Istati Uniti, l-organizzazzjoni tal-ispazju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tħalla f’idejn is-settur privat, b’effetti ta’ konċentrazzjoni konsiderevoli. Iċ-Ċina twettaq taħlita ta’ sorveljanza mill-gvern b’kontroll qawwi tal-kumpaniji tal-Big Tech fuq ammonti emorni ta’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mingħajr salvagwardji biżżejjed għan-nies.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Biex nisfruttaw il-potenzjal tal-Ewropa, irridu nsibu l-mod Ewropew tagħna, billi niksbu bilanċ fejn jidħlu l-fluss u l-użu wiesa’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, iżda mingħajr ma ndgħajfu l-istandards għoljin tal-privatezza, tas-sigurtà, tas-sikurezza u tal-etika. </w:t>
      </w:r>
    </w:p>
    <w:p>
      <w:pPr>
        <w:pStyle w:val="ListParagraph"/>
        <w:keepNext/>
        <w:ind w:left="0"/>
        <w:contextualSpacing w:val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</w:rPr>
        <w:t>X’sar s’issa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Mill-2014 sal-lum, il-Kummissjoni diġà għamlet bosta passi ’l quddiem. Bir-Regolament Ġenerali dwar il-Protezzjoni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(il-GDPR)</w:t>
      </w:r>
      <w:r>
        <w:rPr>
          <w:rStyle w:val="FootnoteReference"/>
          <w:rFonts w:ascii="Times New Roman" w:hAnsi="Times New Roman" w:cs="Times New Roman"/>
          <w:noProof/>
        </w:rPr>
        <w:footnoteReference w:id="4"/>
      </w:r>
      <w:r>
        <w:rPr>
          <w:rFonts w:ascii="Times New Roman" w:hAnsi="Times New Roman"/>
          <w:noProof/>
        </w:rPr>
        <w:t>, l-UE ħolqot qafas sod għall-fiduċja diġitali. Ir-rieżami li jmiss tal-GDPR jaf jipprovdi aktar elementi utli f’dan ir-rigward. Inizjattivi oħrajn li rawmu l-iżvilupp tal-ekonomija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huma r-Regolament dwar il-moviment liberu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mhux personali (l-FFD)</w:t>
      </w:r>
      <w:r>
        <w:rPr>
          <w:rStyle w:val="FootnoteReference"/>
          <w:rFonts w:ascii="Times New Roman" w:hAnsi="Times New Roman" w:cs="Times New Roman"/>
          <w:noProof/>
        </w:rPr>
        <w:footnoteReference w:id="5"/>
      </w:r>
      <w:r>
        <w:rPr>
          <w:rFonts w:ascii="Times New Roman" w:hAnsi="Times New Roman"/>
          <w:noProof/>
        </w:rPr>
        <w:t>, l-Att dwar iċ-Ċibersigurtà (is-CSA)</w:t>
      </w:r>
      <w:r>
        <w:rPr>
          <w:rStyle w:val="FootnoteReference"/>
          <w:rFonts w:ascii="Times New Roman" w:hAnsi="Times New Roman" w:cs="Times New Roman"/>
          <w:noProof/>
        </w:rPr>
        <w:footnoteReference w:id="6"/>
      </w:r>
      <w:r>
        <w:rPr>
          <w:rStyle w:val="FootnoteReference"/>
          <w:rFonts w:ascii="Times New Roman" w:hAnsi="Times New Roman" w:cs="Times New Roman"/>
          <w:noProof/>
        </w:rPr>
        <w:t>,</w:t>
      </w:r>
      <w:r>
        <w:rPr>
          <w:rStyle w:val="FootnoteReference"/>
          <w:rFonts w:ascii="Times New Roman" w:hAnsi="Times New Roman"/>
          <w:noProof/>
        </w:rPr>
        <w:t>,</w:t>
      </w:r>
      <w:r>
        <w:rPr>
          <w:rFonts w:ascii="Times New Roman" w:hAnsi="Times New Roman"/>
          <w:noProof/>
        </w:rPr>
        <w:t xml:space="preserve"> u d-Direttiva dwar 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Miftuħa</w:t>
      </w:r>
      <w:r>
        <w:rPr>
          <w:rStyle w:val="FootnoteReference"/>
          <w:rFonts w:ascii="Times New Roman" w:hAnsi="Times New Roman" w:cs="Times New Roman"/>
          <w:noProof/>
        </w:rPr>
        <w:footnoteReference w:id="7"/>
      </w:r>
      <w:r>
        <w:rPr>
          <w:rFonts w:ascii="Times New Roman" w:hAnsi="Times New Roman"/>
          <w:noProof/>
        </w:rPr>
        <w:t>. Il-Kummissjoni kienet involuta wkoll fid-diplomazija diġitali u rrikonoxxiet li 13-il pajjiż jipprovdu livell adegwat ta’ protezzjoni għad-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personali. </w:t>
      </w:r>
    </w:p>
    <w:p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F’xi oqsma ġiet adottata wkoll leġiżlazzjoni speċifika għas-setturi dwar l-aċċess għad-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ħalli jiġu identifikati l-fallimenti tas-suq, fosthom fis-settur awtomobilistiku</w:t>
      </w:r>
      <w:r>
        <w:rPr>
          <w:rStyle w:val="FootnoteReference"/>
          <w:rFonts w:ascii="Times New Roman" w:hAnsi="Times New Roman" w:cs="Times New Roman"/>
          <w:noProof/>
        </w:rPr>
        <w:footnoteReference w:id="8"/>
      </w:r>
      <w:r>
        <w:rPr>
          <w:rFonts w:ascii="Times New Roman" w:hAnsi="Times New Roman"/>
          <w:noProof/>
        </w:rPr>
        <w:t>, il-fornituri tas-servizzi tal-pagamenti</w:t>
      </w:r>
      <w:r>
        <w:rPr>
          <w:rStyle w:val="FootnoteReference"/>
          <w:rFonts w:ascii="Times New Roman" w:hAnsi="Times New Roman" w:cs="Times New Roman"/>
          <w:noProof/>
        </w:rPr>
        <w:footnoteReference w:id="9"/>
      </w:r>
      <w:r>
        <w:rPr>
          <w:rFonts w:ascii="Times New Roman" w:hAnsi="Times New Roman"/>
          <w:noProof/>
        </w:rPr>
        <w:t>, l-informazzjoni tal-kejl intelliġenti</w:t>
      </w:r>
      <w:r>
        <w:rPr>
          <w:rStyle w:val="FootnoteReference"/>
          <w:rFonts w:ascii="Times New Roman" w:hAnsi="Times New Roman" w:cs="Times New Roman"/>
          <w:noProof/>
        </w:rPr>
        <w:footnoteReference w:id="10"/>
      </w:r>
      <w:r>
        <w:rPr>
          <w:rFonts w:ascii="Times New Roman" w:hAnsi="Times New Roman"/>
          <w:noProof/>
        </w:rPr>
        <w:t>, 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tan-netwerk tal-elettriku</w:t>
      </w:r>
      <w:r>
        <w:rPr>
          <w:rStyle w:val="FootnoteReference"/>
          <w:rFonts w:ascii="Times New Roman" w:hAnsi="Times New Roman" w:cs="Times New Roman"/>
          <w:noProof/>
        </w:rPr>
        <w:footnoteReference w:id="11"/>
      </w:r>
      <w:r>
        <w:rPr>
          <w:rFonts w:ascii="Times New Roman" w:hAnsi="Times New Roman"/>
          <w:noProof/>
        </w:rPr>
        <w:t>, jew is-sistemi tat-trasport intelliġenti</w:t>
      </w:r>
      <w:r>
        <w:rPr>
          <w:rStyle w:val="FootnoteReference"/>
          <w:rFonts w:ascii="Times New Roman" w:hAnsi="Times New Roman" w:cs="Times New Roman"/>
          <w:noProof/>
        </w:rPr>
        <w:footnoteReference w:id="12"/>
      </w:r>
      <w:r>
        <w:rPr>
          <w:rFonts w:ascii="Times New Roman" w:hAnsi="Times New Roman"/>
          <w:noProof/>
        </w:rPr>
        <w:t>. Id-Direttiva dwar il-Kontenut Diġitali</w:t>
      </w:r>
      <w:r>
        <w:rPr>
          <w:rFonts w:ascii="Times New Roman" w:hAnsi="Times New Roman" w:cs="Times New Roman"/>
          <w:noProof/>
          <w:vertAlign w:val="superscript"/>
        </w:rPr>
        <w:footnoteReference w:id="13"/>
      </w:r>
      <w:r>
        <w:rPr>
          <w:rFonts w:ascii="Times New Roman" w:hAnsi="Times New Roman"/>
          <w:noProof/>
        </w:rPr>
        <w:t xml:space="preserve"> għenet fl-għoti tas-setgħat lin-nies għax tathom drittijiet kuntrattwali ġodda fejn jidħlu s-servizzi diġitali mogħtija lill-konsumaturi li jagħtu aċċess għad-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tagħhom.</w:t>
      </w:r>
    </w:p>
    <w:p>
      <w:pPr>
        <w:pStyle w:val="ListParagraph"/>
        <w:keepNext/>
        <w:numPr>
          <w:ilvl w:val="0"/>
          <w:numId w:val="7"/>
        </w:numPr>
        <w:ind w:left="714" w:hanging="357"/>
        <w:contextualSpacing w:val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Il-viżjoni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Il-viżjoni tal-Kummissjoni hi mnebbħa mill-valuri u d-drittijiet fundamentali Ewropej u mill-konvinzjoni li l-bniedem jinsab u jenħtieġ jibqa’ fiċ-ċentru. Il-Kummissjoni hi konvinta li n-negozji u s-settur pubbliku fl-UE jistgħu jingħataw is-setgħat permezz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biex jieħdu deċiżjonijiet aħjar. Hu aktar u aktar diffiċli li tinħataf l-opportunità li tagħtina 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għall-ġid soċjali u ekonomiku, għax 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– għall-kuntrarju tal-biċċa l-kbira tar-riżorsi ekonomiċi – tista’ tiġi replikata kważi mingħajr spejjeż u tista’ tintuża minn persuna jew organizzazzjoni waħda daqskemm minn bosta persuni u organizzazzjonijiet fl-istess ħin. Dan il-potenzjal jenħtieġ nisfruttawh biex inwieġbu l-ħtiġijiet tan-nies u b’hekk noħolqu ċertu valur għall-ekonomija u għas-soċjetà. Madankollu, biex nisfruttawh, jeħtieġ niżguraw aċċess aħjar għad-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u li din tintuża b’mod responsabbli.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L-UE jenħtieġ toħloq ambjent ta’ politika attraenti biex sal-2030, is-sehem tal-UE fl-ekonomija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– 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maħżuna, ipproċessata u użata b’mod siewi fl-Ewropa – tal-inqas jibbilanċja l-piż ekonomiku tagħha, mhux b’</w:t>
      </w:r>
      <w:r>
        <w:rPr>
          <w:rFonts w:ascii="Times New Roman" w:hAnsi="Times New Roman"/>
          <w:i/>
          <w:noProof/>
        </w:rPr>
        <w:t>fiat</w:t>
      </w:r>
      <w:r>
        <w:rPr>
          <w:rFonts w:ascii="Times New Roman" w:hAnsi="Times New Roman"/>
          <w:noProof/>
        </w:rPr>
        <w:t xml:space="preserve"> iżda b’għażla. L-għan hu li jinħoloq spazju Ewropew uniku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– suq uniku ġenwin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, miftuħ għad-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minn madwar id-dinja – fejn 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personali kif ukoll dik mhux personali, inkluż 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kummerċjali sensittiva, ikunu siguri u n-negozji jkollhom aċċess faċli għal ammont kważi infinit ta’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industrijali ta’ kwalità għolja, li jagħti spinta lit-tkabbir u joħloq valur, filwaqt li jimminimizza l-impronta tal-karbonju uman u ambjentali. Jenħtieġ ikun spazju fejn il-liġi tal-UE tkun tista’ tiġi infurzata b’mod effettiv, u fejn il-prodotti u s-servizzi kollha mmexxija mid-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jimxu man-normi rilevanti tas-suq uniku tal-UE. Għal dan il-għan, l-Ewropa jenħtieġ tgħaqqad il-leġiżlazzjoni u l-governanza li huma adattati għal dan il-għan biex tiżgura d-disponibbiltà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, ma’ investimenti fl-istandards, fl-għodod u fl-infrastrutturi u kompetenzi għat-trattament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. Dan il-kuntest favorevoli li jippromwovi l-inċentivi u l-għażla, se jwassal biex fl-UE tinħażen u tiġi pproċessata aktar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.</w:t>
      </w:r>
    </w:p>
    <w:p>
      <w:pPr>
        <w:keepNext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Bl-ispazju Ewropew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, in-negozji tal-UE se jkunu jistgħu jibnu fuq l-iskala tas-Suq Uniku. Jenħtieġ li b’regoli Ewropej komuni u b’mekkaniżmi tal-infurzar effiċjenti niżguraw li:</w:t>
      </w:r>
    </w:p>
    <w:p>
      <w:pPr>
        <w:pStyle w:val="ListParagraph"/>
        <w:keepNext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tista’ tiċċirkola fl-UE u minn settur għall-ieħor;</w:t>
      </w:r>
    </w:p>
    <w:p>
      <w:pPr>
        <w:pStyle w:val="ListParagraph"/>
        <w:keepNext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ir-regoli u l-valuri Ewropej, b’mod partikolari l-protezzjoni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personali, il-leġiżlazzjoni dwar il-protezzjoni tal-konsumatur u l-liġi tal-kompetizzjoni, huma rispettati bis-sħiħ;</w:t>
      </w:r>
    </w:p>
    <w:p>
      <w:pPr>
        <w:pStyle w:val="ListParagraph"/>
        <w:keepNext/>
        <w:numPr>
          <w:ilvl w:val="0"/>
          <w:numId w:val="10"/>
        </w:numPr>
        <w:spacing w:after="240"/>
        <w:ind w:left="357" w:hanging="357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ir-regoli dwar l-aċċess għad-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u l-użu tagħha huma ġusti, prattiċi u ċari, u li hemm fis-seħħ mekkaniżmi ċari u affidabbli għall-governanza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; jitħaddem approċċ miftuħ iżda assertiv għall-flussi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internazzjonali, imsejjes fuq il-valuri Ewropej. </w:t>
      </w:r>
    </w:p>
    <w:p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Il-passi elenkati hawnhekk li jippermettu aċċess għad-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jeħtieġ nikkumplimentawhom bi strateġija industrijali għall-ekonomija aġli mil-lat ta’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. L-ispazji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jenħtieġ irawmu ekosistema (ta’ kumpaniji, soċjetà ċivili u individwi) li toħloq prodotti u servizzi ġodda bbażati fuq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aktar aċċessibbli. Il-politika pubblika tista’ żżid id-domanda għal offerti b’kapaċità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, kemm billi żżid il-kapaċità tas-settur pubbliku stess li juża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għat-teħid tad-deċiżjonijiet u għas-servizzi pubbliċi u anki billi taġġorna r-regolamenti u l-politiki settorjali biex ikunu jirriflettu l-opportunitajiet li tagħti 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u jiżguraw li dawn ixejnu d-diżinċentivi għall-użu produttiv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Il-funzjonament tal-ispazju Ewropew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jiddependi fuq kemm l-UE hi kapaċi tinvesti f’teknoloġiji u infrastrutturi tal-ġenerazzjoni li jmiss u fil-kompetenzi diġitali bħal-litteriżmu fid-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. Dan min-naħa l-oħra jżid is-sovranità teknoloġika tal-Ewropa f’teknoloġiji u infrastrutturi abilitanti essenzjali għall-ekonomija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. L-infrastrutturi jenħtieġ jappoġġaw il-ħolqien ta’ ġabriet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Ewropej li bihom ikunu jistgħu jsiru analitika tal-Big Data u apprendiment awtomatiku, b’mod konformi mal-leġiżlazzjoni dwar il-protezzjoni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u mal-liġi tal-kompetizzjoni, biex b’hekk ikunu jistgħu jinħolqu ekosistemi mmexxija mid-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. Dawn il-ġabriet jistgħu jiġu organizzati b’mod ċentralizzat jew distribwit</w:t>
      </w:r>
      <w:r>
        <w:rPr>
          <w:rStyle w:val="FootnoteReference"/>
          <w:rFonts w:ascii="Times New Roman" w:hAnsi="Times New Roman" w:cs="Times New Roman"/>
          <w:noProof/>
        </w:rPr>
        <w:footnoteReference w:id="14"/>
      </w:r>
      <w:r>
        <w:rPr>
          <w:rFonts w:ascii="Times New Roman" w:hAnsi="Times New Roman"/>
          <w:noProof/>
        </w:rPr>
        <w:t>. L-organizzazzjonijiet li jikkontribwixxu għad-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jiggwadanjaw għax ikollhom aċċess għad-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tal-kontributuri l-oħra, għar-riżultati analitiċi mill-ġabra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, servizzi bħal dawk tal-manutenzjoni preventiva, jew tariffi tal-liċenzji.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Filwaqt li 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hi essenzjali għas-setturi kollha tal-ekonomija u s-soċjetà, kull dominju għandu l-ispeċifiċitajiet tiegħu u mhux is-setturi kollha qed jimxu bl-istess ritmu. Għalhekk, flimkien ma’ azzjonijiet transsettorjali għal spazju Ewropew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, jeħtieġ jinħolqu spazji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settorjali f’oqsma strateġiċi bħall-manifattura, is-saħħa, u l-mobbiltà.</w:t>
      </w:r>
    </w:p>
    <w:p>
      <w:pPr>
        <w:pStyle w:val="ListParagraph"/>
        <w:keepNext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Il-problemi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Hemm diversi kwistjonijiet li qed iżommu lill-UE lura milli tilħaq il-potenzjal tagħha fl-ekonomija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Il-frammentazzjoni bejn l-Istati Membri hi riskju kbir għall-viżjoni ta’ spazju komuni Ewropew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u għal aktar żvilupp ta’ suq uniku ġenwin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. Bosta Stati Membri bdew jadattaw il-qafas ġuridiku tagħhom, ngħidu aħna fejn jidħlu l-użu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miżmuma privatament mill-awtoritajiet governattivi</w:t>
      </w:r>
      <w:r>
        <w:rPr>
          <w:rStyle w:val="FootnoteReference"/>
          <w:rFonts w:ascii="Times New Roman" w:hAnsi="Times New Roman" w:cs="Times New Roman"/>
          <w:noProof/>
        </w:rPr>
        <w:footnoteReference w:id="15"/>
      </w:r>
      <w:r>
        <w:rPr>
          <w:rFonts w:ascii="Times New Roman" w:hAnsi="Times New Roman"/>
          <w:noProof/>
        </w:rPr>
        <w:t>, l-ipproċessar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għal finijiet ta’ riċerka xjentifika</w:t>
      </w:r>
      <w:r>
        <w:rPr>
          <w:rStyle w:val="FootnoteReference"/>
          <w:rFonts w:ascii="Times New Roman" w:hAnsi="Times New Roman" w:cs="Times New Roman"/>
          <w:noProof/>
        </w:rPr>
        <w:footnoteReference w:id="16"/>
      </w:r>
      <w:r>
        <w:rPr>
          <w:rFonts w:ascii="Times New Roman" w:hAnsi="Times New Roman"/>
          <w:noProof/>
        </w:rPr>
        <w:t>, jew l-adattamenti għal-liġi tal-kompetizzjoni</w:t>
      </w:r>
      <w:r>
        <w:rPr>
          <w:rStyle w:val="FootnoteReference"/>
          <w:rFonts w:ascii="Times New Roman" w:hAnsi="Times New Roman" w:cs="Times New Roman"/>
          <w:noProof/>
        </w:rPr>
        <w:footnoteReference w:id="17"/>
      </w:r>
      <w:r>
        <w:rPr>
          <w:rFonts w:ascii="Times New Roman" w:hAnsi="Times New Roman"/>
          <w:noProof/>
        </w:rPr>
        <w:t>. Oħrajn sempliċiment għadhom kemm bdew jistħarrġu kif se jindirizzaw il-kwistjonijiet konċernati. Id-differenzi emerġenti joħorġu fid-dieher l-importanza ta’ azzjoni komuni ħalli tiġi ingranata l-iskala tas-suq intern. Fuq il-kwistjonijiet li ġejjin, il-progress jeħtieġ isir b’mod konġunt:</w:t>
      </w:r>
    </w:p>
    <w:p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</w:rPr>
        <w:t>Id-disponibbiltà tad-</w:t>
      </w:r>
      <w:r>
        <w:rPr>
          <w:rFonts w:ascii="Times New Roman" w:hAnsi="Times New Roman"/>
          <w:b/>
          <w:noProof/>
        </w:rPr>
        <w:t>data</w:t>
      </w:r>
      <w:r>
        <w:rPr>
          <w:rFonts w:ascii="Times New Roman" w:hAnsi="Times New Roman"/>
          <w:b/>
          <w:i/>
          <w:noProof/>
        </w:rPr>
        <w:t>:</w:t>
      </w:r>
      <w:r>
        <w:rPr>
          <w:rFonts w:ascii="Times New Roman" w:hAnsi="Times New Roman"/>
          <w:noProof/>
        </w:rPr>
        <w:t xml:space="preserve"> Il-valur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jinsab fl-użu u fl-użu mill-ġdid tagħha. Bħalissa ma teżistix biżżejjed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disponibbli għal użu mill-ġdid innovattiv, jiġifieri fost l-oħrajn għall-iżvilupp tal-intelliġenza artifiċjali. Il-kwistjonijiet jistgħu jiġu raggruppati skont min hu d-detentur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u skont min hu l-utent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, iżda dan jiddependi anki min-natura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involuta (jiġifieri jekk hix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personali,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mhux personali, jew settijiet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mħallta li jikkombinaw it-tnejn</w:t>
      </w:r>
      <w:r>
        <w:rPr>
          <w:rStyle w:val="FootnoteReference"/>
          <w:rFonts w:ascii="Times New Roman" w:hAnsi="Times New Roman" w:cs="Times New Roman"/>
          <w:noProof/>
        </w:rPr>
        <w:footnoteReference w:id="18"/>
      </w:r>
      <w:r>
        <w:rPr>
          <w:rFonts w:ascii="Times New Roman" w:hAnsi="Times New Roman"/>
          <w:noProof/>
        </w:rPr>
        <w:t>). Hemm bosta kwistjonijiet li għandhom x’jaqsmu mad-disponibbiltà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għall-ġid komuni.</w:t>
      </w:r>
    </w:p>
    <w:p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709" w:firstLine="11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</w:rPr>
        <w:t>Id-</w:t>
      </w:r>
      <w:r>
        <w:rPr>
          <w:rFonts w:ascii="Times New Roman" w:hAnsi="Times New Roman"/>
          <w:b/>
          <w:noProof/>
        </w:rPr>
        <w:t>data</w:t>
      </w:r>
      <w:r>
        <w:rPr>
          <w:rFonts w:ascii="Times New Roman" w:hAnsi="Times New Roman"/>
          <w:b/>
          <w:i/>
          <w:noProof/>
        </w:rPr>
        <w:t xml:space="preserve"> għall-ġid komuni</w:t>
      </w:r>
      <w:r>
        <w:rPr>
          <w:rFonts w:ascii="Times New Roman" w:hAnsi="Times New Roman"/>
          <w:i/>
          <w:noProof/>
        </w:rPr>
        <w:t>: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i/>
          <w:noProof/>
        </w:rPr>
        <w:t>Id-</w:t>
      </w:r>
      <w:r>
        <w:rPr>
          <w:rFonts w:ascii="Times New Roman" w:hAnsi="Times New Roman"/>
          <w:noProof/>
        </w:rPr>
        <w:t>data</w:t>
      </w:r>
      <w:r>
        <w:rPr>
          <w:rFonts w:ascii="Times New Roman" w:hAnsi="Times New Roman"/>
          <w:i/>
          <w:noProof/>
        </w:rPr>
        <w:t xml:space="preserve"> toħloqha s-soċjetà u tista’ tgħin fis-sitwazzjonijiet ta’ emerġenza, bħall-għargħar u n-nirien fil-foresti, biex ikun żgurat li n-nies ikunu jistgħu jgħixu ħajja itwal u aktar f’saħħithom, jitjiebu s-servizzi pubbliċi, u jiġu indirizzati d-degradazzjoni ambjentali u t-tibdil fil-klima, u, meta meħtieġ u proporzjonat, tkun żgurata ġlieda aktar effiċjenti kontra l-kriminalità. Jenħtieġ li d-</w:t>
      </w:r>
      <w:r>
        <w:rPr>
          <w:rFonts w:ascii="Times New Roman" w:hAnsi="Times New Roman"/>
          <w:noProof/>
        </w:rPr>
        <w:t>data</w:t>
      </w:r>
      <w:r>
        <w:rPr>
          <w:rFonts w:ascii="Times New Roman" w:hAnsi="Times New Roman"/>
          <w:i/>
          <w:noProof/>
        </w:rPr>
        <w:t xml:space="preserve"> li jiġġenera s-settur pubbliku u l-valur maħluq ikunu disponibbli għall-ġid komuni billi jkun żgurat, fost l-oħrajn b’aċċess preferenzjali, li din id-</w:t>
      </w:r>
      <w:r>
        <w:rPr>
          <w:rFonts w:ascii="Times New Roman" w:hAnsi="Times New Roman"/>
          <w:noProof/>
        </w:rPr>
        <w:t>data</w:t>
      </w:r>
      <w:r>
        <w:rPr>
          <w:rFonts w:ascii="Times New Roman" w:hAnsi="Times New Roman"/>
          <w:i/>
          <w:noProof/>
        </w:rPr>
        <w:t xml:space="preserve"> jużawha r-riċerkaturi, istituzzjonijiet pubbliċi oħra, l-SMEs jew in-negozji ġodda. Anki d-</w:t>
      </w:r>
      <w:r>
        <w:rPr>
          <w:rFonts w:ascii="Times New Roman" w:hAnsi="Times New Roman"/>
          <w:noProof/>
        </w:rPr>
        <w:t>data</w:t>
      </w:r>
      <w:r>
        <w:rPr>
          <w:rFonts w:ascii="Times New Roman" w:hAnsi="Times New Roman"/>
          <w:i/>
          <w:noProof/>
        </w:rPr>
        <w:t xml:space="preserve"> tas-settur privat tista’ tagħti kontribut sinifikanti daqs il-beni pubbliċi. Pereżempju, l-użu tad-</w:t>
      </w:r>
      <w:r>
        <w:rPr>
          <w:rFonts w:ascii="Times New Roman" w:hAnsi="Times New Roman"/>
          <w:noProof/>
        </w:rPr>
        <w:t>data</w:t>
      </w:r>
      <w:r>
        <w:rPr>
          <w:rFonts w:ascii="Times New Roman" w:hAnsi="Times New Roman"/>
          <w:i/>
          <w:noProof/>
        </w:rPr>
        <w:t xml:space="preserve"> aggregata u anonimizzata tal-midja soċjali jista’ jkun mod effettiv li jikkumplimenta r-rapporti tat-tobba ġenerali f’każ ta’ epidemija.</w:t>
      </w:r>
    </w:p>
    <w:p>
      <w:pPr>
        <w:pStyle w:val="ListParagraph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</w:rPr>
        <w:t>L-użu tal-informazzjoni tas-settur pubbliku min-negozji (kondiviżjoni tad-</w:t>
      </w:r>
      <w:r>
        <w:rPr>
          <w:rFonts w:ascii="Times New Roman" w:hAnsi="Times New Roman"/>
          <w:noProof/>
        </w:rPr>
        <w:t>data</w:t>
      </w:r>
      <w:r>
        <w:rPr>
          <w:rFonts w:ascii="Times New Roman" w:hAnsi="Times New Roman"/>
          <w:i/>
          <w:noProof/>
        </w:rPr>
        <w:t xml:space="preserve"> mill-gvern għan-negozji – G2B).</w:t>
      </w:r>
      <w:r>
        <w:rPr>
          <w:rFonts w:ascii="Times New Roman" w:hAnsi="Times New Roman"/>
          <w:noProof/>
        </w:rPr>
        <w:t xml:space="preserve"> Il-ftuħ tal-informazzjoni miżmuma mill-gvernijiet hi politika tal-UE li ilha teżisti</w:t>
      </w:r>
      <w:r>
        <w:rPr>
          <w:rStyle w:val="FootnoteReference"/>
          <w:rFonts w:ascii="Times New Roman" w:hAnsi="Times New Roman" w:cs="Times New Roman"/>
          <w:noProof/>
        </w:rPr>
        <w:footnoteReference w:id="19"/>
      </w:r>
      <w:r>
        <w:rPr>
          <w:rFonts w:ascii="Times New Roman" w:hAnsi="Times New Roman"/>
          <w:noProof/>
        </w:rPr>
        <w:t>. Din 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tkun inħolqot bi flus pubbliċi u għalhekk jenħtieġ tkun ta’ benefiċċju għas-soċjetà. Id-Direttiva dwar 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Miftuħa</w:t>
      </w:r>
      <w:r>
        <w:rPr>
          <w:rStyle w:val="FootnoteReference"/>
          <w:rFonts w:ascii="Times New Roman" w:hAnsi="Times New Roman" w:cs="Times New Roman"/>
          <w:noProof/>
        </w:rPr>
        <w:footnoteReference w:id="20"/>
      </w:r>
      <w:r>
        <w:rPr>
          <w:rFonts w:ascii="Times New Roman" w:hAnsi="Times New Roman"/>
          <w:noProof/>
        </w:rPr>
        <w:t xml:space="preserve"> riveduta dan l-aħħar u leġiżlazzjoni oħra speċifika għas-setturi jiżguraw li 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li jiġġenera s-settur pubbliku tkun disponibbli aktar faċilment għall-użu</w:t>
      </w:r>
      <w:r>
        <w:rPr>
          <w:rStyle w:val="FootnoteReference"/>
          <w:rFonts w:ascii="Times New Roman" w:hAnsi="Times New Roman" w:cs="Times New Roman"/>
          <w:noProof/>
        </w:rPr>
        <w:footnoteReference w:id="21"/>
      </w:r>
      <w:r>
        <w:rPr>
          <w:rFonts w:ascii="Times New Roman" w:hAnsi="Times New Roman"/>
          <w:noProof/>
        </w:rPr>
        <w:t>, b’mod partikolari mill-SMEs</w:t>
      </w:r>
      <w:r>
        <w:rPr>
          <w:noProof/>
        </w:rPr>
        <w:t xml:space="preserve"> </w:t>
      </w:r>
      <w:r>
        <w:rPr>
          <w:rFonts w:ascii="Times New Roman" w:hAnsi="Times New Roman"/>
          <w:noProof/>
        </w:rPr>
        <w:t>iżda anki għas-soċjetà ċivili u għall-komunità xjentifika fil-qafas ta’ evalwazzjonijiet ta’ politika pubblika indipendenti. Iżda l-gvernijiet jistgħu jagħmlu aktar. Ħafna drabi, is-settijiet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ta’ valur kbir ma jkunux disponibbli bl-istess kundizzjonijiet madwar l-UE u dan għad-detriment tal-użu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mill-SMEs li ma jifilħux iħallsu għal din il-frammentazzjoni. Fl-istess ħin, ħafna drabi 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sensittiva (bħad-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dwar is-saħħa) fil-bażijiet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pubbliċi ma tkunx disponibbli għall-finijiet ta’ riċerka, għax ikun hemm nuqqas ta’ kapaċità jew mekkaniżmi li jippermettu li jittieħdu azzjonijiet speċifiċi ta’ riċerka b’mod konformi mar-regoli dwar il-protezzjoni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personali.</w:t>
      </w:r>
    </w:p>
    <w:p>
      <w:pPr>
        <w:pStyle w:val="ListParagraph"/>
        <w:numPr>
          <w:ilvl w:val="0"/>
          <w:numId w:val="5"/>
        </w:numPr>
        <w:ind w:left="357" w:hanging="357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</w:rPr>
        <w:t>Il-kondiviżjoni u l-użu tad-</w:t>
      </w:r>
      <w:r>
        <w:rPr>
          <w:rFonts w:ascii="Times New Roman" w:hAnsi="Times New Roman"/>
          <w:noProof/>
        </w:rPr>
        <w:t>data</w:t>
      </w:r>
      <w:r>
        <w:rPr>
          <w:rFonts w:ascii="Times New Roman" w:hAnsi="Times New Roman"/>
          <w:i/>
          <w:noProof/>
        </w:rPr>
        <w:t xml:space="preserve"> miżmuma mill-privat minn kumpaniji oħra (kondiviżjoni tad-</w:t>
      </w:r>
      <w:r>
        <w:rPr>
          <w:rFonts w:ascii="Times New Roman" w:hAnsi="Times New Roman"/>
          <w:noProof/>
        </w:rPr>
        <w:t>data</w:t>
      </w:r>
      <w:r>
        <w:rPr>
          <w:rFonts w:ascii="Times New Roman" w:hAnsi="Times New Roman"/>
          <w:i/>
          <w:noProof/>
        </w:rPr>
        <w:t xml:space="preserve"> min-negozji għan-negozji – B2B).</w:t>
      </w:r>
      <w:r>
        <w:rPr>
          <w:rFonts w:ascii="Times New Roman" w:hAnsi="Times New Roman"/>
          <w:noProof/>
        </w:rPr>
        <w:t xml:space="preserve"> Minkejja l-potenzjal ekonomiku, il-kondiviżjoni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bejn il-kumpaniji ma rnexxilhiex tilħaq skala biżżejjed. Dan ġara minħabba nuqqas ta’ inċentivi ekonomiċi (inkluż il-biża’ li jintilef xi vantaġġ kompetittiv), in-nuqqas ta’ fiduċja bejn l-operaturi ekonomiċi li 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se tintuża skont il-ftehimiet kuntrattwali, l-iżbilanċi fil-poter tan-negozjar, il-biża’ ta’ miżapproprjazzjoni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minn partijiet terzi, u nuqqas ta’ ċarezza legali dwar min jista’ jagħmel xiex fejn tidħol 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(pereżempju għad-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maħluqa b’mod konġunt, b’mod partikolari 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tal-Internet tal-Oġġetti). </w:t>
      </w:r>
    </w:p>
    <w:p>
      <w:pPr>
        <w:pStyle w:val="ListParagraph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</w:rPr>
        <w:t>L-użu tad-</w:t>
      </w:r>
      <w:r>
        <w:rPr>
          <w:rFonts w:ascii="Times New Roman" w:hAnsi="Times New Roman"/>
          <w:noProof/>
        </w:rPr>
        <w:t>data</w:t>
      </w:r>
      <w:r>
        <w:rPr>
          <w:rFonts w:ascii="Times New Roman" w:hAnsi="Times New Roman"/>
          <w:i/>
          <w:noProof/>
        </w:rPr>
        <w:t xml:space="preserve"> miżmuma mill-privat minn awtoritajiet governattivi (kondiviżjoni tad-</w:t>
      </w:r>
      <w:r>
        <w:rPr>
          <w:rFonts w:ascii="Times New Roman" w:hAnsi="Times New Roman"/>
          <w:noProof/>
        </w:rPr>
        <w:t>data</w:t>
      </w:r>
      <w:r>
        <w:rPr>
          <w:rFonts w:ascii="Times New Roman" w:hAnsi="Times New Roman"/>
          <w:i/>
          <w:noProof/>
        </w:rPr>
        <w:t xml:space="preserve"> min-negozji għall-gvern – B2G).</w:t>
      </w:r>
      <w:r>
        <w:rPr>
          <w:rFonts w:ascii="Times New Roman" w:hAnsi="Times New Roman"/>
          <w:noProof/>
        </w:rPr>
        <w:t xml:space="preserve"> Bħalissa ma teżistix biżżejjed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tas-settur privat disponibbli għall-użu mis-settur pubbliku biex jitjiebu t-tfassil ta’ politika mmexxi mill-evidenza</w:t>
      </w:r>
      <w:r>
        <w:rPr>
          <w:rStyle w:val="FootnoteReference"/>
          <w:rFonts w:ascii="Times New Roman" w:hAnsi="Times New Roman" w:cs="Times New Roman"/>
          <w:noProof/>
        </w:rPr>
        <w:footnoteReference w:id="22"/>
      </w:r>
      <w:r>
        <w:rPr>
          <w:rFonts w:ascii="Times New Roman" w:hAnsi="Times New Roman"/>
          <w:noProof/>
        </w:rPr>
        <w:t>, u ċertu servizzi pubbliċi bħall-immaniġġar tal-mobbiltà jew it-titjib tal-ambitu u l-puntwalità tal-istatistika uffiċjali</w:t>
      </w:r>
      <w:r>
        <w:rPr>
          <w:rStyle w:val="FootnoteReference"/>
          <w:rFonts w:ascii="Times New Roman" w:hAnsi="Times New Roman" w:cs="Times New Roman"/>
          <w:noProof/>
        </w:rPr>
        <w:footnoteReference w:id="23"/>
      </w:r>
      <w:r>
        <w:rPr>
          <w:rFonts w:ascii="Times New Roman" w:hAnsi="Times New Roman"/>
          <w:noProof/>
        </w:rPr>
        <w:t>, u b’hekk titjieb ir-rilevanza tagħhom fil-kuntest tal-iżviluppi ġodda fis-soċjetà. Fost ir-rakkomandazzjonijiet li ta Grupp ta’ Esperti</w:t>
      </w:r>
      <w:r>
        <w:rPr>
          <w:rStyle w:val="FootnoteReference"/>
          <w:rFonts w:ascii="Times New Roman" w:hAnsi="Times New Roman" w:cs="Times New Roman"/>
          <w:noProof/>
        </w:rPr>
        <w:footnoteReference w:id="24"/>
      </w:r>
      <w:r>
        <w:rPr>
          <w:rFonts w:ascii="Times New Roman" w:hAnsi="Times New Roman"/>
          <w:bCs/>
          <w:noProof/>
        </w:rPr>
        <w:t xml:space="preserve"> maħluq mill-Kummissjoni hemm il-ħolqien ta’ strutturi nazzjonali għall-kondiviżjoni tad-</w:t>
      </w:r>
      <w:r>
        <w:rPr>
          <w:rFonts w:ascii="Times New Roman" w:hAnsi="Times New Roman"/>
          <w:bCs/>
          <w:i/>
          <w:noProof/>
        </w:rPr>
        <w:t>data</w:t>
      </w:r>
      <w:r>
        <w:rPr>
          <w:rFonts w:ascii="Times New Roman" w:hAnsi="Times New Roman"/>
          <w:bCs/>
          <w:noProof/>
        </w:rPr>
        <w:t xml:space="preserve"> B2G, l-iżvilupp ta’ inċentivi xierqa li joħolqu kultura ta’ kondiviżjoni tad-</w:t>
      </w:r>
      <w:r>
        <w:rPr>
          <w:rFonts w:ascii="Times New Roman" w:hAnsi="Times New Roman"/>
          <w:bCs/>
          <w:i/>
          <w:noProof/>
        </w:rPr>
        <w:t>data</w:t>
      </w:r>
      <w:r>
        <w:rPr>
          <w:rFonts w:ascii="Times New Roman" w:hAnsi="Times New Roman"/>
          <w:bCs/>
          <w:noProof/>
        </w:rPr>
        <w:t xml:space="preserve">, u s-suġġeriment li jiġi esplorat qafas regolatorju tal-UE li jirregola l-użu mill-ġdid mis-settur pubbliku għall-interess pubbliku ta’ </w:t>
      </w:r>
      <w:r>
        <w:rPr>
          <w:rFonts w:ascii="Times New Roman" w:hAnsi="Times New Roman"/>
          <w:bCs/>
          <w:i/>
          <w:noProof/>
        </w:rPr>
        <w:t>data</w:t>
      </w:r>
      <w:r>
        <w:rPr>
          <w:rFonts w:ascii="Times New Roman" w:hAnsi="Times New Roman"/>
          <w:bCs/>
          <w:noProof/>
        </w:rPr>
        <w:t xml:space="preserve"> miżmuma mill-privat.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i/>
          <w:noProof/>
        </w:rPr>
        <w:t>Il-kondiviżjoni tad-</w:t>
      </w:r>
      <w:r>
        <w:rPr>
          <w:rFonts w:ascii="Times New Roman" w:hAnsi="Times New Roman"/>
          <w:noProof/>
        </w:rPr>
        <w:t>data</w:t>
      </w:r>
      <w:r>
        <w:rPr>
          <w:rFonts w:ascii="Times New Roman" w:hAnsi="Times New Roman"/>
          <w:i/>
          <w:noProof/>
        </w:rPr>
        <w:t xml:space="preserve"> bejn l-awtoritajiet pubbliċi</w:t>
      </w:r>
      <w:r>
        <w:rPr>
          <w:rFonts w:ascii="Times New Roman" w:hAnsi="Times New Roman"/>
          <w:noProof/>
        </w:rPr>
        <w:t xml:space="preserve"> hi daqstant ieħor importanti. Din tista’ tagħti kontribut ġmielu biex jissaħħu t-tfassil tal-politika u s-servizzi pubbliċi, iżda anki biex jonqos il-piż amministrattiv minn fuq il-kumpaniji li joperaw fis-Suq Uniku (il-prinċipju ta’ “darba biss”).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</w:rPr>
        <w:t>Żbilanċi fis-setgħat tas-suq:</w:t>
      </w:r>
      <w:r>
        <w:rPr>
          <w:rFonts w:ascii="Times New Roman" w:hAnsi="Times New Roman"/>
          <w:noProof/>
        </w:rPr>
        <w:t xml:space="preserve"> Minbarra l-konċentrazzjoni qawwija fil-forniment ta’ servizzi tal-cloud u infrastrutturi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, hemm ukoll żbilanċi tas-suq fejn jidħlu l-aċċess għad-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u l-użu tagħha, ngħidu aħna fir-rigward tal-aċċess għad-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mill-SMEs. Każ partikolari ġej mill-pjattaformi online kbar, fejn ftit parteċipanti jistgħu jakkumulaw ammonti kbar ta’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, u b’hekk ikollhom ċertu għarfien importanti u vantaġġi kompetittivi mid-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rikka u varjata li għandhom. Min-naħa l-oħra, dan jista’ jaffettwa l-kontestabbiltà tas-swieq f’każijiet speċifiċi – mhux biss is-suq għal dawn is-servizzi tal-pjattaforma, iżda anki d-diversi swieq speċifiċi għal prodotti u servizzi servuti mill-pjattaforma, b’mod partikolari jekk il-pjattaforma tkun hi stess attiva f’dawn is-swieq relatati. Bil-livell għoli ta’ setgħat tas-suq li jinkiseb permezz tal-“vantaġġ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”, l-atturi l-kbar ikunu jistgħu jistabbilixxu r-regoli dwar il-pjattaforma u b’mod unilaterali jimponu kundizzjonijiet għall-aċċess u għall-użu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jew saħansitra jippermettu ingranaġġ ta’ dan “il-vantaġġ tas-setgħat” meta jkunu qed jiżviluppaw xi servizzi ġodda u jkabbru lejn swieq ġodda. L-iżbilanċi jistgħu jinħolqu wkoll f’sitwazzjonijiet oħra, fosthom fejn jidħol l-aċċess għal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koġenerata tal-Internet tal-Oġġetti minn apparat industrijali u tal-konsumatur.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</w:rPr>
        <w:t>L-interoperabbiltà u l-kwalità tad-</w:t>
      </w:r>
      <w:r>
        <w:rPr>
          <w:rFonts w:ascii="Times New Roman" w:hAnsi="Times New Roman"/>
          <w:b/>
          <w:noProof/>
        </w:rPr>
        <w:t>data</w:t>
      </w:r>
      <w:r>
        <w:rPr>
          <w:rFonts w:ascii="Times New Roman" w:hAnsi="Times New Roman"/>
          <w:b/>
          <w:i/>
          <w:noProof/>
        </w:rPr>
        <w:t>:</w:t>
      </w:r>
      <w:r>
        <w:rPr>
          <w:rFonts w:ascii="Times New Roman" w:hAnsi="Times New Roman"/>
          <w:noProof/>
        </w:rPr>
        <w:t xml:space="preserve"> L-interoperabbiltà u l-kwalità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, kif ukoll l-istruttura, l-awtentiċità u l-integrità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huma kruċjali għall-isfruttament tal-valur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, speċjalment fil-kuntest tal-varar tal-Intelliġenza Artifiċjali. Il-produtturi u l-utenti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identifikaw kwistjonijiet sinifikanti ta’ interoperabbiltà li jxekklu l-kombinament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minn sorsi differenti fi ħdan is-setturi, u aktar minn hekk bejn is-setturi. Jenħtieġ li l-applikazzjoni ta’ formati u protokolli kompatibbli standard u kondiviżi għall-ġbir u l-ipproċessar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minn sorsi differenti b’mod koerenti u interoperabbli fost is-setturi kollha u fis-swieq vertikali tiġi mħeġġa bil-pjan kontinwu għall-istandardizzazzjoni tal-ICT</w:t>
      </w:r>
      <w:r>
        <w:rPr>
          <w:rStyle w:val="FootnoteReference"/>
          <w:rFonts w:ascii="Times New Roman" w:hAnsi="Times New Roman" w:cs="Times New Roman"/>
          <w:noProof/>
        </w:rPr>
        <w:footnoteReference w:id="25"/>
      </w:r>
      <w:r>
        <w:rPr>
          <w:rFonts w:ascii="Times New Roman" w:hAnsi="Times New Roman"/>
          <w:noProof/>
        </w:rPr>
        <w:t xml:space="preserve"> u (fir-rigward tas-servizzi pubbliċi) b’Qafas Ewropew għall-Interoperabbiltà aktar b’saħħtu</w:t>
      </w:r>
      <w:r>
        <w:rPr>
          <w:rStyle w:val="FootnoteReference"/>
          <w:rFonts w:ascii="Times New Roman" w:hAnsi="Times New Roman" w:cs="Times New Roman"/>
          <w:noProof/>
        </w:rPr>
        <w:footnoteReference w:id="26"/>
      </w:r>
      <w:r>
        <w:rPr>
          <w:noProof/>
        </w:rPr>
        <w:t>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</w:rPr>
        <w:t>Il-governanza tad-</w:t>
      </w:r>
      <w:r>
        <w:rPr>
          <w:rFonts w:ascii="Times New Roman" w:hAnsi="Times New Roman"/>
          <w:b/>
          <w:noProof/>
        </w:rPr>
        <w:t>data</w:t>
      </w:r>
      <w:r>
        <w:rPr>
          <w:rFonts w:ascii="Times New Roman" w:hAnsi="Times New Roman"/>
          <w:b/>
          <w:i/>
          <w:noProof/>
        </w:rPr>
        <w:t>:</w:t>
      </w:r>
      <w:r>
        <w:rPr>
          <w:rFonts w:ascii="Times New Roman" w:hAnsi="Times New Roman"/>
          <w:noProof/>
        </w:rPr>
        <w:t xml:space="preserve"> Kien hemm appelli biex tkompli tissaħħaħ il-governanza tal-użu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fis-soċjetà u l-ekonomija</w:t>
      </w:r>
      <w:r>
        <w:rPr>
          <w:rFonts w:ascii="Times New Roman" w:hAnsi="Times New Roman" w:cs="Times New Roman"/>
          <w:noProof/>
          <w:vertAlign w:val="superscript"/>
        </w:rPr>
        <w:footnoteReference w:id="27"/>
      </w:r>
      <w:r>
        <w:rPr>
          <w:rFonts w:ascii="Times New Roman" w:hAnsi="Times New Roman"/>
          <w:noProof/>
        </w:rPr>
        <w:t>. Biex dawn l-ispazji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jsiru operattivi, hemm bżonn approċċi u strutturi organizzattivi (kemm pubbliċi u privati) li jipprovdu opportunitajiet ta’ innovazzjoni mmexxija mid-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abbażi tal-qafas ġuridiku eżistenti.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</w:rPr>
        <w:t>L-infrastrutturi u t-teknoloġiji tad-</w:t>
      </w:r>
      <w:r>
        <w:rPr>
          <w:rFonts w:ascii="Times New Roman" w:hAnsi="Times New Roman"/>
          <w:b/>
          <w:noProof/>
        </w:rPr>
        <w:t>data</w:t>
      </w:r>
      <w:r>
        <w:rPr>
          <w:rFonts w:ascii="Times New Roman" w:hAnsi="Times New Roman"/>
          <w:b/>
          <w:i/>
          <w:noProof/>
        </w:rPr>
        <w:t>:</w:t>
      </w:r>
      <w:r>
        <w:rPr>
          <w:rFonts w:ascii="Times New Roman" w:hAnsi="Times New Roman"/>
          <w:noProof/>
        </w:rPr>
        <w:t xml:space="preserve"> It-trasformazzjoni diġitali tal-ekonomija tal-UE tistrieħ fuq id-disponibbiltà u l-użu ta’ kapaċitajiet tal-ipproċessar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li jkunu siguri, effiċjenti fl-użu tal-enerġija, affordabbli u ta’ kwalità għolja, bħalma huma dawk offruti mill-infrastrutturi u s-servizzi tal-cloud, kemm fiċ-ċentri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u anki fl-edge computing. F’din il-perspettiva, l-UE jeħtieġ tnaqqas id-dipendenzi teknoloġiċi tagħha f’dawn l-infrastrutturi strateġiċi, fiċ-ċentru tal-ekonomija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. 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Iżda xorta għad hemm problemi fuq in-naħa tal-provvista u fuq in-naħa tad-domanda tal-cloud. </w:t>
      </w:r>
    </w:p>
    <w:p>
      <w:pPr>
        <w:keepNext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Fuq in-naħa tal-provvista: 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Il-fornituri tal-cloud ibbażati fl-UE għandhom biss sehem żgħir tas-suq tal-cloud, u għalhekk l-UE hi dipendenti ħafna fuq il-fornituri esterni, hi vulnerabbli għat-theddid estern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u hi soġġetta għal telf ta’ potenzjal tal-investiment għall-industrija diġitali Ewropea fis-suq tal-ipproċessar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;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Anki l-fornituri tas-servizzi li joperaw fl-UE jistgħu jkunu soġġetti għal-leġiżlazzjoni ta’ pajjiżi terzi, u dan joħloq ir-riskju li 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taċ-ċittadini u tan-negozji tal-UE jaċċessawha ġurisdizzjonijiet ta’ pajjiżi terzi li jikkontradixxu l-qafas tal-protezzjoni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tal-UE. B’mod partikolari, kien hemm bosta tħassib dwar diversi liġijiet Ċiniżi relatati maċ-ċibersigurtà u mal-intelligence nazzjonali. </w:t>
      </w:r>
    </w:p>
    <w:p>
      <w:pPr>
        <w:pStyle w:val="ListParagraph"/>
        <w:numPr>
          <w:ilvl w:val="0"/>
          <w:numId w:val="6"/>
        </w:numPr>
        <w:jc w:val="both"/>
        <w:rPr>
          <w:noProof/>
        </w:rPr>
      </w:pPr>
      <w:r>
        <w:rPr>
          <w:rFonts w:ascii="Times New Roman" w:hAnsi="Times New Roman"/>
          <w:noProof/>
        </w:rPr>
        <w:t>Filwaqt li leġiżlazzjonijiet ta’ pajjiżi terzi bħall-Cloud Act tal-Istati Uniti huma bbażati fuq raġunijiet ta’ politika pubblika, bħall-aċċess l-aċċess tas-servizzi tal-infurzar tal-liġi għad-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minħabba investigazzjonijiet kriminali, l-applikazzjoni ta’ leġiżlazzjoni ta’ ġurisdizzjonijiet barranin toħloq ċertu tħassib leġittimu għan-negozji, għaċ-ċittadini u għall-awtoritajiet pubbliċi Ewropej dwar l-inċertezza legali u l-konformità mal-liġi applikabbli tal-UE, bħar-regoli dwar il-protezzjoni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. L-UE qed taħdem biex tnaqqas dan it-tħassib permezz ta’ kooperazzjoni internazzjonali ta’ benefiċċju reċiproku, bħall-Ftehim propost bejn l-UE u l-Istati Uniti biex jeħfief l-aċċess transfruntier għall-evidenza elettronika, jittaffa r-riskju ta’ kunflitt tal-liġijiet u jiġu stabbiliti salvagwardji ċari għad-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taċ-ċittadini u tal-kumpaniji tal-UE. L-UE qed taħdem ukoll fil-livell multilaterali, inkluż fil-kuntest tal-Kunsill tal-Ewropa, biex tiżviluppa regoli komuni dwar l-aċċess għall-evidenza elettronika li jkunu bbażati fuq livell għoli ta’ protezzjoni tad-drittijiet fundamentali u proċedurali.</w:t>
      </w:r>
    </w:p>
    <w:p>
      <w:pPr>
        <w:pStyle w:val="ListParagraph"/>
        <w:numPr>
          <w:ilvl w:val="0"/>
          <w:numId w:val="6"/>
        </w:numPr>
        <w:spacing w:before="240" w:after="0"/>
        <w:ind w:left="357" w:hanging="35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Hemm inċertezza dwar il-konformità tal-fornituri tas-servizzi tal-cloud ma’ regoli u standards importanti tal-UE, bħala pereżempju dwar il-protezzjoni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.</w:t>
      </w:r>
    </w:p>
    <w:p>
      <w:pPr>
        <w:pStyle w:val="ListParagraph"/>
        <w:numPr>
          <w:ilvl w:val="0"/>
          <w:numId w:val="6"/>
        </w:numPr>
        <w:ind w:left="357" w:hanging="357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Il-mikrointrapriżi u l-SMEs iġarrbu detriment ekonomiku minħabba problemi relatati mal-kuntratti, bħal ngħidu aħna minħabba nuqqas ta’ konformità mal-kuntratt jew termini kuntrattwali inġusti</w:t>
      </w:r>
      <w:r>
        <w:rPr>
          <w:rStyle w:val="FootnoteReference"/>
          <w:rFonts w:ascii="Times New Roman" w:hAnsi="Times New Roman" w:cs="Times New Roman"/>
          <w:noProof/>
        </w:rPr>
        <w:footnoteReference w:id="28"/>
      </w:r>
      <w:r>
        <w:rPr>
          <w:rFonts w:ascii="Times New Roman" w:hAnsi="Times New Roman"/>
          <w:noProof/>
        </w:rPr>
        <w:t>.</w:t>
      </w:r>
    </w:p>
    <w:p>
      <w:pPr>
        <w:keepNext/>
        <w:spacing w:before="240"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Fuq in-naħa tad-domanda: 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Fl-Ewropa l-livell ta’ adozzjoni tal-cloud hu baxx (kumpanija waħda (1) minn kull erbgħa (4), u SME waħda (1) minn kull ħamsa (5)</w:t>
      </w:r>
      <w:r>
        <w:rPr>
          <w:rStyle w:val="FootnoteReference"/>
          <w:rFonts w:ascii="Times New Roman" w:hAnsi="Times New Roman" w:cs="Times New Roman"/>
          <w:noProof/>
        </w:rPr>
        <w:footnoteReference w:id="29"/>
      </w:r>
      <w:r>
        <w:rPr>
          <w:rFonts w:ascii="Times New Roman" w:hAnsi="Times New Roman"/>
          <w:noProof/>
        </w:rPr>
        <w:t>). Bejn l-Istati Membri jeżistu bosta diverġenzi fl-adozzjoni tal-cloud (il-cloud jużawha bejn inqas minn 10 % sa 65 % tan-negozji);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B’mod speċifiku, l-adozzjoni tal-cloud fis-settur pubbliku Ewropew hi baxxa. Dan jista’ jwassal biex is-servizzi pubbliċi diġitali jkunu inqas effiċjenti, mhux biss minħabba l-potenzjal ċar li jonqsu l-ispejjeż tal-IT bl-adozzjoni tal-cloud iżda anki għax il-gvernijiet jeħtieġu l-iskalabbiltà tal-cloud computing biex jintroduċu teknoloġiji bħall-Intelliġenza Artifiċjali. 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Is-suq tal-fornituri iżgħar, li ħafna drabi jkunu Ewropej, tas-servizzi innovattivi tal-cloud ta’ spiss ibati minn nuqqas ta’ viżibbiltà. 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In-negozji Ewropej ta’ spiss ikollhom problemi bl-interoperabbiltà tal-multicloud, b’mod partikolari l-portabbiltà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</w:rPr>
        <w:t>Setgħa lill-individwi biex jeżerċitaw id-drittijiet tagħhom:</w:t>
      </w:r>
      <w:r>
        <w:rPr>
          <w:rFonts w:ascii="Times New Roman" w:hAnsi="Times New Roman"/>
          <w:noProof/>
        </w:rPr>
        <w:t xml:space="preserve"> L-individwi japprezzaw il-livell għoli ta’ protezzjoni li jipprovdu l-GDPR u l-leġiżlazzjoni dwar il-privatezza elettronika. Iżda dawn iġarrbu nuqqas ta’ għodod u standards tekniċi li l-eżerċizzju tad-drittijiet tagħhom jagħmluh sempliċi u mhux peżanti żżejjed. Il-potenzjal tal-Artikolu 20 tal-GDPR li jiftaħ il-bibien għal flussi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ġodda u jrawwem il-kompetizzjoni hu rikonoxxut f’rapporti miktuba għall-Kummissjoni u għall-gvernijiet tal-Istati Membri</w:t>
      </w:r>
      <w:r>
        <w:rPr>
          <w:rStyle w:val="FootnoteReference"/>
          <w:rFonts w:ascii="Times New Roman" w:hAnsi="Times New Roman" w:cs="Times New Roman"/>
          <w:noProof/>
        </w:rPr>
        <w:footnoteReference w:id="30"/>
      </w:r>
      <w:r>
        <w:rPr>
          <w:rFonts w:ascii="Times New Roman" w:hAnsi="Times New Roman"/>
          <w:noProof/>
        </w:rPr>
        <w:t xml:space="preserve"> li mhuwiex wieħed limitat għall-UE</w:t>
      </w:r>
      <w:r>
        <w:rPr>
          <w:rStyle w:val="FootnoteReference"/>
          <w:rFonts w:ascii="Times New Roman" w:hAnsi="Times New Roman" w:cs="Times New Roman"/>
          <w:noProof/>
        </w:rPr>
        <w:footnoteReference w:id="31"/>
      </w:r>
      <w:r>
        <w:rPr>
          <w:rFonts w:ascii="Times New Roman" w:hAnsi="Times New Roman"/>
          <w:noProof/>
        </w:rPr>
        <w:t>. Iżda billi dan tfassal b’mod li jippermetti l-qlib tal-fornituri tas-servizzi minflok ma jippermetti l-użu mill-ġdid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fl-ekosistemi diġitali, id-dritt għandu limitazzjonijiet prattiċi.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Kulma jmur il-konsumaturi qed jiġġeneraw ammonti dejjem akbar ta’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meta jużaw l-apparati tal-Internet tal-Oġġetti u s-servizzi diġitali, u għalhekk il-konsumaturi qed jiffaċċjaw riskji ta’ diskriminazzjoni, prattiki inġusti u effetti ta’ intrappolament. Il-konsiderazzjonijiet ta’ setgħa lill-konsumaturi u lill-innovazzjoni jirfdu d-dispożizzjonijiet dwar l-aċċess għad-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u l-użu mill-ġdid tad-Direttiva dwar is-Servizzi tal-Pagamenti.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B’reazzjoni għal dan, hemm appelli (mill-moviment MyData u oħrajn)</w:t>
      </w:r>
      <w:r>
        <w:rPr>
          <w:rStyle w:val="FootnoteReference"/>
          <w:rFonts w:ascii="Times New Roman" w:hAnsi="Times New Roman" w:cs="Times New Roman"/>
          <w:noProof/>
        </w:rPr>
        <w:footnoteReference w:id="32"/>
      </w:r>
      <w:r>
        <w:rPr>
          <w:rFonts w:ascii="Times New Roman" w:hAnsi="Times New Roman"/>
          <w:noProof/>
        </w:rPr>
        <w:t xml:space="preserve"> biex l-individwi jingħataw l-għodod u l-mezzi biex jiddeċiedu f’livell granulari dwar xi jsir bid-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tagħhom. Dan mistenni jikseb benefiċċji sinifikanti għall-individwi, fosthom għas-saħħa u l-benessri tagħhom, finanzi personali aħjar, impronta ambjentali iżgħar, aċċess mingħajr xkiel għas-servizzi pubbliċi u privati, u aktar sorveljanza u trasparenza fejn tidħol 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personali tagħhom. Dawk l-għodod u l-mezzi jinkludu għodod ta’ ġestjoni tal-kunsens, apps għall-ġestjoni tal-informazzjoni personali, fosthom soluzzjonijiet deċentralizzati għalkollox imsejsa fuq il-blockchain, kif ukoll kooperattivi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personali jew trusts li jaġixxu bħala intermedjarji newtrali ġodda fl-ekonomija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personali</w:t>
      </w:r>
      <w:r>
        <w:rPr>
          <w:rStyle w:val="FootnoteReference"/>
          <w:rFonts w:ascii="Times New Roman" w:hAnsi="Times New Roman" w:cs="Times New Roman"/>
          <w:noProof/>
        </w:rPr>
        <w:footnoteReference w:id="33"/>
      </w:r>
      <w:r>
        <w:rPr>
          <w:rFonts w:ascii="Times New Roman" w:hAnsi="Times New Roman"/>
          <w:noProof/>
        </w:rPr>
        <w:t xml:space="preserve">. Bħalissa dawn l-għodod għadhom fi stadju bikri, għalkemm għandhom potenzjal sinifikanti u jeħtieġu ambjent li jappoġġahom.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</w:rPr>
        <w:t>Il-ħiliet u l-litteriżmu fid-</w:t>
      </w:r>
      <w:r>
        <w:rPr>
          <w:rFonts w:ascii="Times New Roman" w:hAnsi="Times New Roman"/>
          <w:b/>
          <w:noProof/>
        </w:rPr>
        <w:t>data</w:t>
      </w:r>
      <w:r>
        <w:rPr>
          <w:rFonts w:ascii="Times New Roman" w:hAnsi="Times New Roman"/>
          <w:b/>
          <w:i/>
          <w:noProof/>
        </w:rPr>
        <w:t xml:space="preserve">: </w:t>
      </w:r>
      <w:r>
        <w:rPr>
          <w:rFonts w:ascii="Times New Roman" w:hAnsi="Times New Roman"/>
          <w:noProof/>
        </w:rPr>
        <w:t>Bħalissa, il-Big Data u l-analitika jinsabu fuq nett fil-lista tal-iskarsezzi kritiċi tal-ħiliet. Fl-2017, kien hemm madwar 496 000 post battal fil-qasam tal-Big Data u l-analitika fl-EU27</w:t>
      </w:r>
      <w:r>
        <w:rPr>
          <w:rStyle w:val="FootnoteReference"/>
          <w:rFonts w:ascii="Times New Roman" w:hAnsi="Times New Roman" w:cs="Times New Roman"/>
          <w:noProof/>
        </w:rPr>
        <w:footnoteReference w:id="34"/>
      </w:r>
      <w:r>
        <w:rPr>
          <w:rFonts w:ascii="Times New Roman" w:hAnsi="Times New Roman"/>
          <w:noProof/>
        </w:rPr>
        <w:t>. Barra minn hekk, il-litteriżmu ġenerali fid-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fil-forza tax-xogħol u fost il-popolazzjoni hu relattivament baxx u jeżistu lakuni fejn tidħol il-parteċipazzjoni (pereżempju mill-anzjani). Jekk dan ma jiġix indirizzat, in-nuqqas ta’ esperti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u n-nuqqas ta’ litteriżmu fid-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se jaffettwaw il-kapaċità tal-UE li tegħleb l-isfidi tal-ekonomija u s-soċjetà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</w:rPr>
        <w:t>Iċ-ċibersigurtà:</w:t>
      </w:r>
      <w:r>
        <w:rPr>
          <w:rFonts w:ascii="Times New Roman" w:hAnsi="Times New Roman"/>
          <w:noProof/>
        </w:rPr>
        <w:t xml:space="preserve"> Fil-qasam taċ-ċibersigurtà, l-Ewropa żviluppat qafas diġà komprensiv biex tappoġġa lill-Istati Membri, lin-negozji u liċ-ċittadini ħalli jindirizzaw it-theddid u l-attakki taċ-ċibersigurtà, u l-Ewropa se tibqa’ tiżviluppa u ttejjeb il-mekkaniżmi tagħha li jipproteġu 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tagħha u s-servizzi mibnija fuqha. L-użu sikur u mifrux ta’ prodotti u servizzi mmexxija mid-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jiddependi wkoll fuq l-aqwa standards taċ-ċibersigurtà. Il-qafas taċ-Ċertifikazzjoni taċ-Ċibersigurtà tal-UE u l-Aġenzija tal-UE għaċ-Ċibersigurtà (ENISA)</w:t>
      </w:r>
      <w:r>
        <w:rPr>
          <w:rFonts w:ascii="Times New Roman" w:hAnsi="Times New Roman" w:cs="Times New Roman"/>
          <w:noProof/>
          <w:vertAlign w:val="superscript"/>
        </w:rPr>
        <w:footnoteReference w:id="35"/>
      </w:r>
      <w:r>
        <w:rPr>
          <w:rFonts w:ascii="Times New Roman" w:hAnsi="Times New Roman"/>
          <w:noProof/>
        </w:rPr>
        <w:t xml:space="preserve"> mistennija jaqdu rwol importanti għal dak il-għan.</w:t>
      </w:r>
    </w:p>
    <w:p>
      <w:pPr>
        <w:spacing w:after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Iżda bil-mudell il-ġdid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, minħabba l-fatt li fiċ-ċentri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se tinħażen inqas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, u aktar 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se tinfirex b’mod pervażiv eqreb lejn l-utent “fit-tarf”, se jinħolqu sfidi ġodda għaċ-ċibersigurtà. Meta 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tkun qed tiġi skambjata, se jkun essenzjali li tiġi ppriżervata s-sigurtà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. Hu prerekwiżit eżiġenti iżda essenzjali li niżguraw il-kontinwità tal-kontrolli tal-aċċess (jiġifieri kif jiġu mmaniġġati u rispettati l-attributi tas-sigurtà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) fost il-ktajjen tal-valur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, ħalli titrawwem il-kondiviżjoni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u tkun żgurata l-fiduċja fost l-atturi differenti tal-ekosistemi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Ewropej.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ind w:left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i/>
          <w:noProof/>
        </w:rPr>
        <w:t>Hemm teknoloġiji diġitali deċentralizzati ġodda bħall-</w:t>
      </w:r>
      <w:r>
        <w:rPr>
          <w:rFonts w:ascii="Times New Roman" w:hAnsi="Times New Roman"/>
          <w:b/>
          <w:i/>
          <w:noProof/>
        </w:rPr>
        <w:t>blockchain</w:t>
      </w:r>
      <w:r>
        <w:rPr>
          <w:rFonts w:ascii="Times New Roman" w:hAnsi="Times New Roman"/>
          <w:i/>
          <w:noProof/>
        </w:rPr>
        <w:t xml:space="preserve"> li joffru possibbiltà oħra għall-individwi u għall-kumpaniji biex jimmaniġġaw il-flussi u l-użu tad-</w:t>
      </w:r>
      <w:r>
        <w:rPr>
          <w:rFonts w:ascii="Times New Roman" w:hAnsi="Times New Roman"/>
          <w:noProof/>
        </w:rPr>
        <w:t>data</w:t>
      </w:r>
      <w:r>
        <w:rPr>
          <w:rFonts w:ascii="Times New Roman" w:hAnsi="Times New Roman"/>
          <w:i/>
          <w:noProof/>
        </w:rPr>
        <w:t>, abbażi ta’ għażla libera individwali u awtodeterminazzjoni. Dawn it-teknoloġiji jippermettu l-portabbiltà dinamika tad-</w:t>
      </w:r>
      <w:r>
        <w:rPr>
          <w:rFonts w:ascii="Times New Roman" w:hAnsi="Times New Roman"/>
          <w:noProof/>
        </w:rPr>
        <w:t>data</w:t>
      </w:r>
      <w:r>
        <w:rPr>
          <w:rFonts w:ascii="Times New Roman" w:hAnsi="Times New Roman"/>
          <w:i/>
          <w:noProof/>
        </w:rPr>
        <w:t xml:space="preserve"> f’ħin reali għall-individwi u għall-kumpaniji, flimkien ma’ diversi mudelli ta’ kumpens. </w:t>
      </w:r>
    </w:p>
    <w:p>
      <w:pPr>
        <w:pStyle w:val="ListParagraph"/>
        <w:keepNext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L-Istrateġija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Din l-Istrateġija Ewropea għad-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għandha l-għan li twettaq il-viżjoni għal suq uniku ġenwin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u tindirizza l-problemi identifikati permezz ta’ miżuri ta’ politika u finanzjament, imsejsa fuq dak li diġà nkiseb fl-aħħar ftit snin. 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Kull waħda mill-miżuri leġiżlattivi se titħejja u tiġi vvalutata b’konformità sħiħa mal-prinċipji tar-Regolamentazzjoni Aħjar.</w:t>
      </w:r>
    </w:p>
    <w:p>
      <w:pPr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L-azzjonijiet huma bbażati fuq erba’ pilastri:</w:t>
      </w:r>
    </w:p>
    <w:p>
      <w:pPr>
        <w:keepNext/>
        <w:numPr>
          <w:ilvl w:val="0"/>
          <w:numId w:val="3"/>
        </w:num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Qafas ta’ governanza transsettorjali għall-aċċess u l-użu tad-</w:t>
      </w:r>
      <w:r>
        <w:rPr>
          <w:rFonts w:ascii="Times New Roman" w:hAnsi="Times New Roman"/>
          <w:b/>
          <w:i/>
          <w:noProof/>
        </w:rPr>
        <w:t>data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Jenħtieġ li l-miżuri transsettorjali (jew orizzontali) għall-aċċess u l-użu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joħolqu l-qafas ġenerali meħtieġ għall-ekonomija aġli mil-lat ta’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, u b’hekk tiġi evitata l-frammentazzjoni tas-suq intern minħabba azzjonijiet inkonsistenti bejn is-setturi u bejn l-Istati Membri. Iżda jenħtieġ li dawn il-miżuri jqisu l-ispeċifiċitajiet ta’ setturi individwali u tal-Istati Membri.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L-approċċ tal-Kummissjoni għar-regolamentazzjoni hu li jinħolqu oqfsa li jsawru l-kuntest, li jippermettu l-iżvilupp ta’ ekosistemi ħajjin, dinamiċi u vivaċi. Hu diffiċli li wieħed jifhem għalkollox l-elementi kollha ta’ din it-trasformazzjoni lejn ekonomija aġli mil-lat ta’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u għaldaqstant il-Kummissjoni deliberatament se żżomm lura minn regolamentazzjoni </w:t>
      </w:r>
      <w:r>
        <w:rPr>
          <w:rFonts w:ascii="Times New Roman" w:hAnsi="Times New Roman"/>
          <w:i/>
          <w:iCs/>
          <w:noProof/>
        </w:rPr>
        <w:t>ex ante</w:t>
      </w:r>
      <w:r>
        <w:rPr>
          <w:rFonts w:ascii="Times New Roman" w:hAnsi="Times New Roman"/>
          <w:noProof/>
        </w:rPr>
        <w:t xml:space="preserve"> tqila u dettaljata wisq, u tippreferi approċċ aġli għal governanza li tiffavorixxi l-esperimentazzjoni (bħal sandboxes regolatorji), l-iterazzjoni u d-differenzazzjoni.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Bi qbil ma’ dan il-prinċipju, l-ewwel prijorità għall-operazzjonalizzazzjoni tal-viżjoni hi li jiġi stabbilit </w:t>
      </w:r>
      <w:r>
        <w:rPr>
          <w:rFonts w:ascii="Times New Roman" w:hAnsi="Times New Roman"/>
          <w:b/>
          <w:noProof/>
        </w:rPr>
        <w:t>qafas leġiżlattiv abilitanti għall-governanza tal-ispazji komuni Ewropej tad-</w:t>
      </w:r>
      <w:r>
        <w:rPr>
          <w:rFonts w:ascii="Times New Roman" w:hAnsi="Times New Roman"/>
          <w:b/>
          <w:i/>
          <w:noProof/>
        </w:rPr>
        <w:t>data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b/>
          <w:noProof/>
        </w:rPr>
        <w:t>(Q4 2020)</w:t>
      </w:r>
      <w:r>
        <w:rPr>
          <w:rFonts w:ascii="Times New Roman" w:hAnsi="Times New Roman"/>
          <w:noProof/>
        </w:rPr>
        <w:t xml:space="preserve">. Dawn l-istrutturi ta’ governanza jenħtieġ jappoġġaw deċiżjonijiet dwar liema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tista’ tintuża u f’liema sitwazzjonijiet, jiffaċilitaw l-użu transfruntier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, u jagħtu prijorità lir-rekwiżiti u l-istandards tal-interoperabbiltà fi ħdan is-setturi u bejniethom, filwaqt li titqies il-ħtieġa li l-awtoritajiet settorjali jispeċifikaw ir-rekwiżiti settorjali. Il-qafas se jirrinforza l-istrutturi meħtieġa fl-Istati Membri u fil-livell tal-UE biex jeħfief l-użu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għal ideat tan-negozju innovattivi, kemm fil-livell speċifiku għas-setturi u f’dak speċifiku għad-dominji u minn perspettiva transettorjali. Dan se jibni fuq inizjattivi riċenti fl-Istati Membri</w:t>
      </w:r>
      <w:r>
        <w:rPr>
          <w:rStyle w:val="FootnoteReference"/>
          <w:rFonts w:ascii="Times New Roman" w:hAnsi="Times New Roman" w:cs="Times New Roman"/>
          <w:noProof/>
        </w:rPr>
        <w:footnoteReference w:id="36"/>
      </w:r>
      <w:r>
        <w:rPr>
          <w:rFonts w:ascii="Times New Roman" w:hAnsi="Times New Roman"/>
          <w:noProof/>
        </w:rPr>
        <w:t xml:space="preserve"> u f’setturi individwali biex jindirizza xi waħda jew aktar minn dawn il-kwistjonijiet: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jissaħħu l-mekkaniżmi tal-governanza fil-livell Ewropew u fl-Istati Membri rilevanti għall-użu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transsettorjali u għall-użu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fl-ispazji komuni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settorjali, li jinvolvu atturi privati u anki pubbliċi. Dan jista’ jinkludi mekkaniżmu li jipprijoritizza l-attivitajiet tal-istandardizzazzjoni</w:t>
      </w:r>
      <w:r>
        <w:rPr>
          <w:rStyle w:val="FootnoteReference"/>
          <w:rFonts w:ascii="Times New Roman" w:hAnsi="Times New Roman" w:cs="Times New Roman"/>
          <w:noProof/>
        </w:rPr>
        <w:footnoteReference w:id="37"/>
      </w:r>
      <w:r>
        <w:rPr>
          <w:rFonts w:ascii="Times New Roman" w:hAnsi="Times New Roman"/>
          <w:noProof/>
        </w:rPr>
        <w:t xml:space="preserve"> u li jaħdem għal deskrizzjoni u ħarsa ġenerali aktar armonizzati tas-settijiet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, tal-oġġetti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u tal-identifikaturi biex titrawwem l-interoperabbiltà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(jiġifieri l-użabbiltà tagħhom fil-livell tekniku</w:t>
      </w:r>
      <w:r>
        <w:rPr>
          <w:rStyle w:val="FootnoteReference"/>
          <w:rFonts w:ascii="Times New Roman" w:hAnsi="Times New Roman" w:cs="Times New Roman"/>
          <w:noProof/>
        </w:rPr>
        <w:footnoteReference w:id="38"/>
      </w:r>
      <w:r>
        <w:rPr>
          <w:rFonts w:ascii="Times New Roman" w:hAnsi="Times New Roman"/>
          <w:noProof/>
        </w:rPr>
        <w:t>) bejn is-setturi u, meta rilevanti, fi ħdanhom</w:t>
      </w:r>
      <w:r>
        <w:rPr>
          <w:rStyle w:val="FootnoteReference"/>
          <w:noProof/>
        </w:rPr>
        <w:footnoteReference w:id="39"/>
      </w:r>
      <w:r>
        <w:rPr>
          <w:rFonts w:ascii="Times New Roman" w:hAnsi="Times New Roman"/>
          <w:noProof/>
        </w:rPr>
        <w:t>. Dan jista’ jsir bi qbil mal-prinċipji dwar it-Traċċabbiltà, l-Aċċessibbiltà, l-Interoperabbiltà u r-Riużabbiltà (il-FAIR)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filwaqt li jitqiesu l-iżviluppi u d-deċiżjonijiet tal-awtoritajiet speċifiċi għas-setturi.</w:t>
      </w:r>
    </w:p>
    <w:p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ikunu ffaċilitati d-deċiżjonijiet li għalihom tista’ tintuża 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, kif u minn min għall-finijiet ta’ riċerka xjentifika b’mod konformi mal-GDPR. Dan hu rilevanti partikolarment għall-bażijiet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miżmuma pubblikament b’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sensittiva mhux koperta mid-Direttiva dwar 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Miftuħa.</w:t>
      </w:r>
    </w:p>
    <w:p>
      <w:pPr>
        <w:pStyle w:val="ListParagraph"/>
        <w:numPr>
          <w:ilvl w:val="0"/>
          <w:numId w:val="8"/>
        </w:numPr>
        <w:ind w:left="357" w:hanging="357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ikun aktar faċli għall-individwi biex jippermettu l-użu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li jiġġeneraw għall-ġid pubbliku, jekk ikunu jixtiequ li jagħmlu dan (“altruwiżmu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”), f’konformità mal-GDPR.</w:t>
      </w:r>
    </w:p>
    <w:p>
      <w:pPr>
        <w:pStyle w:val="ListParagraph"/>
        <w:ind w:left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It-tieni, il-Kummissjoni se taħdem biex aktar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tas-settur pubbliku ta’ kwalità għolja tkun disponibbli biex tintuża mill-ġdid, b’mod partikolari fid-dawl tal-potenzjal tagħha għall-SMEs. Biex ċerti settijiet ewlenin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ta’ referenza tas-settur pubbliku jinfetħu għall-innovazzjoni, għandha tinbeda l-proċedura għall-adozzjoni ta’ </w:t>
      </w:r>
      <w:r>
        <w:rPr>
          <w:rFonts w:ascii="Times New Roman" w:hAnsi="Times New Roman"/>
          <w:b/>
          <w:noProof/>
        </w:rPr>
        <w:t>Att ta’ Implimentazzjoni dwar is-settijiet tad-</w:t>
      </w:r>
      <w:r>
        <w:rPr>
          <w:rFonts w:ascii="Times New Roman" w:hAnsi="Times New Roman"/>
          <w:b/>
          <w:i/>
          <w:noProof/>
        </w:rPr>
        <w:t>data</w:t>
      </w:r>
      <w:r>
        <w:rPr>
          <w:rFonts w:ascii="Times New Roman" w:hAnsi="Times New Roman"/>
          <w:b/>
          <w:noProof/>
        </w:rPr>
        <w:t xml:space="preserve"> ta’ valur kbir (Q1 2021)</w:t>
      </w:r>
      <w:r>
        <w:rPr>
          <w:rFonts w:ascii="Times New Roman" w:hAnsi="Times New Roman"/>
          <w:noProof/>
        </w:rPr>
        <w:t xml:space="preserve"> skont id-Direttiva dwar 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Miftuħa biex dawn is-settijiet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jkunu disponibbli madwar l-UE mingħajr ħlas, f’format li jinqara mill-magni u b’Interfaċċi ta’ Programmazzjoni tal-Applikazzjonijiet (APIs) standardizzati. Il-Kummissjoni se teżamina mekkaniżmi biex tqis il-ħtiġijiet partikolari tal-SMEs. Se tassisti wkoll lill-Istati Membri biex sal-17 ta’ Lulju 2021 tkun żgurata traspożizzjoni fil-ħin u preċiża tar-regoli l-ġodda tad-Direttiva dwar 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Miftuħa.</w:t>
      </w:r>
    </w:p>
    <w:p>
      <w:pPr>
        <w:pStyle w:val="ListParagraph"/>
        <w:spacing w:after="12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It-tielet, il-Kummissjoni se </w:t>
      </w:r>
      <w:r>
        <w:rPr>
          <w:rFonts w:ascii="Times New Roman" w:hAnsi="Times New Roman"/>
          <w:b/>
          <w:noProof/>
        </w:rPr>
        <w:t xml:space="preserve">tesplora l-ħtieġa għal azzjoni leġiżlattiva dwar kwistjonijiet li jaffettwaw ir-relazzjonijiet bejn l-atturi fl-ekonomija aġli mil-lat ta’ </w:t>
      </w:r>
      <w:r>
        <w:rPr>
          <w:rFonts w:ascii="Times New Roman" w:hAnsi="Times New Roman"/>
          <w:b/>
          <w:i/>
          <w:noProof/>
        </w:rPr>
        <w:t>data</w:t>
      </w:r>
      <w:r>
        <w:rPr>
          <w:rFonts w:ascii="Times New Roman" w:hAnsi="Times New Roman"/>
          <w:noProof/>
        </w:rPr>
        <w:t xml:space="preserve"> biex tipprovdi inċentivi għal kondiviżjoni orizzontali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bejn is-setturi (li tkun tikkumplimenta l-kondiviżjoni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fi ħdan is-setturi kif deskritt fl-Appendiċi). Kwistjoni jew aktar minn dawn li ġejjin jistgħu jitmexxew ’il quddiem permezz ta’ </w:t>
      </w:r>
      <w:r>
        <w:rPr>
          <w:rFonts w:ascii="Times New Roman" w:hAnsi="Times New Roman"/>
          <w:b/>
          <w:noProof/>
        </w:rPr>
        <w:t>Att dwar id-</w:t>
      </w:r>
      <w:r>
        <w:rPr>
          <w:rFonts w:ascii="Times New Roman" w:hAnsi="Times New Roman"/>
          <w:b/>
          <w:i/>
          <w:noProof/>
        </w:rPr>
        <w:t>Data</w:t>
      </w:r>
      <w:r>
        <w:rPr>
          <w:rFonts w:ascii="Times New Roman" w:hAnsi="Times New Roman"/>
          <w:b/>
          <w:noProof/>
        </w:rPr>
        <w:t xml:space="preserve"> (2021</w:t>
      </w:r>
      <w:r>
        <w:rPr>
          <w:rFonts w:ascii="Times New Roman" w:hAnsi="Times New Roman"/>
          <w:noProof/>
        </w:rPr>
        <w:t>):</w:t>
      </w:r>
    </w:p>
    <w:p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titrawwem il-kondiviżjoni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min-negozji għall-gvern għall-interess pubbliku wkoll fid-dawl tar-rakkomandazzjonijiet inklużi fir-rapport tal-Grupp ta’ Esperti dwar il-Kondiviżjoni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min-Negozji għall-Gvern). </w:t>
      </w:r>
    </w:p>
    <w:p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tiġi appoġġata l-kondiviżjoni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min-negozji għan-negozji, b’mod partikolari biex jiġu indirizzati kwistjonijiet relatati mad-drittijiet tal-użu għal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koġenerata (bħad-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tal-Internet tal-Oġġetti f’kuntesti industrijali), li tipikament ikunu stabbiliti fil-kuntratti privati. Il-Kummissjoni se taħdem ukoll biex tidentifika u tindirizza l-ostakli eżistenti li jxekklu l-kondiviżjoni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u biex tiċċara r-regoli għall-użu responsabbli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(bħar-responsabbiltà legali). Il-prinċipju ġenerali għandu jkun li titħeġġeġ il-kondiviżjoni volontarja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. </w:t>
      </w:r>
    </w:p>
    <w:p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Jenħtieġ li l-aċċess għad-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jkun obbligatorju biss meta ċ-ċirkostanzi speċifiċi jiddettaw hekk</w:t>
      </w:r>
      <w:r>
        <w:rPr>
          <w:rStyle w:val="FootnoteReference"/>
          <w:rFonts w:ascii="Times New Roman" w:hAnsi="Times New Roman" w:cs="Times New Roman"/>
          <w:noProof/>
        </w:rPr>
        <w:footnoteReference w:id="40"/>
      </w:r>
      <w:r>
        <w:rPr>
          <w:rFonts w:ascii="Times New Roman" w:hAnsi="Times New Roman"/>
          <w:noProof/>
        </w:rPr>
        <w:t>, u kif xieraq dan isir b’kundizzjonijiet ġusti, trasparenti, raġonevoli, proporzjonati u/jew mhux diskriminatorji</w:t>
      </w:r>
      <w:r>
        <w:rPr>
          <w:rStyle w:val="FootnoteReference"/>
          <w:rFonts w:ascii="Times New Roman" w:hAnsi="Times New Roman" w:cs="Times New Roman"/>
          <w:noProof/>
        </w:rPr>
        <w:footnoteReference w:id="41"/>
      </w:r>
      <w:r>
        <w:rPr>
          <w:rFonts w:ascii="Times New Roman" w:hAnsi="Times New Roman"/>
          <w:noProof/>
        </w:rPr>
        <w:t xml:space="preserve">. </w:t>
      </w:r>
    </w:p>
    <w:p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jiġi evalwat il-qafas IPR bil-ħsieb li jitjieb aktar l-aċċess u l-użu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(inkluż reviżjoni possibbli tad-Direttiva dwar il-Bażi ta’ </w:t>
      </w:r>
      <w:r>
        <w:rPr>
          <w:rFonts w:ascii="Times New Roman" w:hAnsi="Times New Roman"/>
          <w:i/>
          <w:noProof/>
        </w:rPr>
        <w:t>Data</w:t>
      </w:r>
      <w:r>
        <w:rPr>
          <w:rStyle w:val="FootnoteReference"/>
          <w:rFonts w:ascii="Times New Roman" w:hAnsi="Times New Roman" w:cs="Times New Roman"/>
          <w:noProof/>
        </w:rPr>
        <w:footnoteReference w:id="42"/>
      </w:r>
      <w:r>
        <w:rPr>
          <w:rFonts w:ascii="Times New Roman" w:hAnsi="Times New Roman"/>
          <w:noProof/>
        </w:rPr>
        <w:t xml:space="preserve"> u kjarifika possibbli tal-applikazzjoni tad-Direttiva dwar il-Protezzjoni tas-Sigrieti Kummerċjali</w:t>
      </w:r>
      <w:r>
        <w:rPr>
          <w:rStyle w:val="FootnoteReference"/>
          <w:rFonts w:ascii="Times New Roman" w:hAnsi="Times New Roman" w:cs="Times New Roman"/>
          <w:noProof/>
        </w:rPr>
        <w:footnoteReference w:id="43"/>
      </w:r>
      <w:r>
        <w:rPr>
          <w:rFonts w:ascii="Times New Roman" w:hAnsi="Times New Roman"/>
          <w:noProof/>
        </w:rPr>
        <w:t xml:space="preserve"> bħala qafas tal-abilitazzjoni).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Barra minn hekk, il-Kummissjoni se tivvaluta liema miżuri huma meħtieġa biex jiġu stabbiliti ġabriet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għall-analiżi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u l-apprendiment awtomatiku. 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Il-Kummissjoni se tipprovdi aktar gwida lill-partijiet konċernati dwar il-konformità tal-arranġamenti tal-kondiviżjoni u l-akkomunament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mal-liġi tal-kompetizzjoni tal-UE permezz ta’ aġġornament tal-Linji Gwida dwar il-Kooperazzjoni Orizzontali</w:t>
      </w:r>
      <w:r>
        <w:rPr>
          <w:rStyle w:val="FootnoteReference"/>
          <w:rFonts w:ascii="Times New Roman" w:hAnsi="Times New Roman" w:cs="Times New Roman"/>
          <w:noProof/>
        </w:rPr>
        <w:footnoteReference w:id="44"/>
      </w:r>
      <w:r>
        <w:rPr>
          <w:rFonts w:ascii="Times New Roman" w:hAnsi="Times New Roman"/>
          <w:noProof/>
        </w:rPr>
        <w:t>. Jekk ikun meħtieġ, il-Kummissjoni hi ppreparata wkoll biex tipprovdi gwida individwali addizzjonali relatata mal-proġetti dwar il-kompatibbiltà mar-regoli tal-kompetizzjoni tal-UE. Meta tkun qed teżerċita s-setgħat tagħha tal-kontroll tal-amalgamazzjonijiet, il-Kummissjoni se tanalizza mill-qrib l-effetti fuq il-kompetizzjoni li jaf tħalli akkumulazzjoni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fuq skala kbira permezz ta’ akkwiżizzjonijiet, u se tanalizza wkoll is-siwi ta’ rimedji relatati mal-aċċess għad-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jew mal-kondiviżjoni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biex jissolva kwalunkwe tħassib. 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Fir-rieżami li qed tagħmel ta’ bosta linji gwida dwar l-Għajnuna mill-Istat, il-Kummissjoni se teżamina r-relazzjoni bejn l-appoġġ pubbliku għall-impriżi (eż. għat-trasformazzjoni diġitali) u t-tnaqqis possibbli fid-distorsjonijiet tal-kompetizzjoni permezz ta’ rekwiżiti relatati mal-kondiviżjoni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għall-benefiċjarji.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Ir-rieżami tal-approċċ awtoregolatorju attwali għall-qlib tal-fornitur tal-cloud</w:t>
      </w:r>
      <w:r>
        <w:rPr>
          <w:rStyle w:val="FootnoteReference"/>
          <w:rFonts w:ascii="Times New Roman" w:hAnsi="Times New Roman" w:cs="Times New Roman"/>
          <w:noProof/>
        </w:rPr>
        <w:footnoteReference w:id="45"/>
      </w:r>
      <w:r>
        <w:rPr>
          <w:rFonts w:ascii="Times New Roman" w:hAnsi="Times New Roman"/>
          <w:noProof/>
        </w:rPr>
        <w:t xml:space="preserve"> jista’ jwassal għal aktar azzjoni, skont il-progress li jagħmlu l-parteċipanti fis-suq.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Il-Kummissjoni se tikkunsidra wkoll kwistjonijiet ġurisdizzjonali relatati mad-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. Dawn il-kwistjonijiet joħolqu inċertezza għan-negozji li jistgħu jiffaċċjaw regoli kunfliġġenti. Fejn jidħlu l-prinċipji tagħha, l-UE jenħtieġ ma tagħmilx kompromessi: il-kumpaniji kollha li jbigħu xi prodotti jew jipprovdu xi servizzi relatati mal-ekonomija aġli mil-lat ta’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fl-UE jridu jirrispettaw il-leġiżlazzjoni tal-UE u dan jenħtieġ ma jiġix kompromess b’talbiet ġurisdizzjonali minn barra l-UE.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Il-Kummissjoni se tikkunsidra miżuri li jiffaċilitaw l-użu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fi prodotti u servizzi u jżidu d-domanda għal servizzi li jippermettu 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. Ir-rieżamijiet settorjali jenħtieġ jidentifikaw ostakli regolatorji u mhux regolatorji għall-użu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u għal offerti li jinvolvu 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. Jenħtieġ li anki b’aktar disponibbiltà u standardizzazzjoni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teħfief il-konformità f’ħin reali u transfruntiera, u dan iwassal biex jonqsu l-piżijiet amministrattivi u l-ostakli għas-Suq Uniku. Barra minn hekk, il-gvernijiet jistgħu wkoll irawmu d-domanda billi jżidu l-użu tal-analitika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u tas-servizzi awtomatizzati fis-servizzi pubbliċi u fit-teħid tad-deċiżjonijiet.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L-Osservatorju tal-Ekonomija tal-Pjattaformi Online qed janalizza l-akkumulazzjoni ta’ ammonti kbar ta’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min-naħa tal-kumpaniji tal-Big Tech, ir-rwol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fil-ħolqien jew fir-rinfurzar tal-iżbilanċi fis-saħħa tan-negozjar u l-mod kif dawn il-kumpaniji jużaw u jaqsmu 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bejn is-setturi. Il-kwistjoni mhux se tiġi indirizzata bħala parti mill-Att dwar 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, iżda bl-istħarriġ usa’ tal-fatti fuq il-livell għoli ta’ setgħat tas-suq li għandhom ċerti pjattaformi u anki fil-kuntest tal-ħidma tal-Kummissjoni fuq il-pakkett tal-Att dwar is-Servizzi Diġitali. Abbażi ta’ dan l-istħarriġ tal-fatti, il-Kummissjoni se tikkunsidra kif l-aħjar tindirizza kwistjonijiet aktar sistemiċi relatati mal-pjattaformi u mad-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, fosthom b’regolamentazzjoni </w:t>
      </w:r>
      <w:r>
        <w:rPr>
          <w:rFonts w:ascii="Times New Roman" w:hAnsi="Times New Roman"/>
          <w:i/>
          <w:noProof/>
        </w:rPr>
        <w:t>ex ante</w:t>
      </w:r>
      <w:r>
        <w:rPr>
          <w:rFonts w:ascii="Times New Roman" w:hAnsi="Times New Roman"/>
          <w:noProof/>
        </w:rPr>
        <w:t>, jekk ikun xieraq, li tiżgura li s-swieq jibqgħu miftuħa u ġusti.</w:t>
      </w:r>
    </w:p>
    <w:p>
      <w:pPr>
        <w:keepNext/>
        <w:spacing w:after="120"/>
        <w:jc w:val="both"/>
        <w:outlineLvl w:val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</w:rPr>
        <w:t>Tmexxija bl-eżempju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Il-Kummissjoni se tistinka għal eċċellenza fil-mod kif torganizza 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tagħha stess, kif tuża 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għal tfassil tal-politika aħjar, u kif 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li tiġġenera u tiffinanzja tkun disponibbli għall-oħrajn, inkluż fuq il-Portal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Miftuħa tal-UE</w:t>
      </w:r>
      <w:r>
        <w:rPr>
          <w:rStyle w:val="FootnoteReference"/>
          <w:rFonts w:ascii="Times New Roman" w:hAnsi="Times New Roman" w:cs="Times New Roman"/>
          <w:noProof/>
        </w:rPr>
        <w:footnoteReference w:id="46"/>
      </w:r>
      <w:r>
        <w:rPr>
          <w:rFonts w:ascii="Times New Roman" w:hAnsi="Times New Roman"/>
          <w:noProof/>
        </w:rPr>
        <w:t>.</w:t>
      </w:r>
    </w:p>
    <w:p>
      <w:pPr>
        <w:pStyle w:val="ListParagraph"/>
        <w:spacing w:after="120"/>
        <w:ind w:left="0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li toħroġ mill-programmi tar-riċerka u l-varar tal-UE, l-UE se tibqa’ tagħmilha disponibbli bil-prinċipju ta’ “niftħu kemm jista’ jkun, nagħlqu kemm hemm bżonn”, u se tibqa’ tiffaċilita l-iskoperta, il-kondiviżjoni, l-aċċess u l-użu mill-ġdid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u s-servizzi mir-riċerkaturi permezz tal-Cloud Ewropew tax-Xjenza Miftuħa (l-EOSC)</w:t>
      </w:r>
      <w:r>
        <w:rPr>
          <w:rStyle w:val="FootnoteReference"/>
          <w:rFonts w:ascii="Times New Roman" w:hAnsi="Times New Roman" w:cs="Times New Roman"/>
          <w:noProof/>
        </w:rPr>
        <w:footnoteReference w:id="47"/>
      </w:r>
      <w:r>
        <w:rPr>
          <w:rFonts w:ascii="Times New Roman" w:hAnsi="Times New Roman"/>
          <w:noProof/>
        </w:rPr>
        <w:t>.</w:t>
      </w:r>
    </w:p>
    <w:p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L-UE se tikkontribwixxi wkoll bid-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u bl-infrastruttura tal-programm ta’ osservazzjoni tad-dinja Copernicus biex meta jkun rilevanti tirfed l-ispazji Ewropej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. Fl-istess ħin, jekk tissaħħaħ l-ekosistema ta’ Copernicus bl-applikazzjoni ta’ soluzzjonijiet teknoloġiċi diġitali Ewropej, jinfetħu opportunitajiet ġodda ta’ innovazzjoni għall-kostitwenza tal-ispazji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, kemm pubblika kif ukoll privata. </w:t>
      </w:r>
    </w:p>
    <w:p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L-UE se taħdem biex tuża aktar 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u l-analitika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fil-proċessi interni tagħha u bħala kontribut lill-Kummissjoni għat-teħid tad-deċiżjonijiet u r-rieżamijiet tal-politika eżistenti.</w:t>
      </w:r>
    </w:p>
    <w:p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L-azzjonijiet ewlenin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2" w:hanging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- Nipproponu qafas leġiżlattiv għall-governanza tal-ispazji komuni Ewropej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, Q4 2020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- Nadottaw att ta’ implimentazzjoni dwar is-settijiet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ta’ valur kbir, Q1 2021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- Nipproponu kif xieraq, Att dwar 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, fl-2021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ind w:left="142" w:hanging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- Nanalizzaw l-importanza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fl-ekonomija diġitali (eż. bl-Osservatorju tal-Ekonomija tal-Pjattaformi Online), u nwettqu rieżami tal-qafas ta’ politika eżistenti fil-kuntest tal-pakkett tal-Att dwar is-Servizzi Diġitali (Q4 2020). </w:t>
      </w:r>
    </w:p>
    <w:p>
      <w:pPr>
        <w:keepNext/>
        <w:numPr>
          <w:ilvl w:val="0"/>
          <w:numId w:val="3"/>
        </w:numPr>
        <w:spacing w:after="120"/>
        <w:ind w:left="357" w:hanging="35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L-ixprunaturi: Investimenti fid-</w:t>
      </w:r>
      <w:r>
        <w:rPr>
          <w:rFonts w:ascii="Times New Roman" w:hAnsi="Times New Roman"/>
          <w:b/>
          <w:i/>
          <w:noProof/>
        </w:rPr>
        <w:t>data</w:t>
      </w:r>
      <w:r>
        <w:rPr>
          <w:rFonts w:ascii="Times New Roman" w:hAnsi="Times New Roman"/>
          <w:b/>
          <w:noProof/>
        </w:rPr>
        <w:t xml:space="preserve"> u t-tisħiħ tal-kapaċitajiet u l-infrastrutturi tal-Ewropa għall-ospitar, l-ipproċessar u l-użu tad-</w:t>
      </w:r>
      <w:r>
        <w:rPr>
          <w:rFonts w:ascii="Times New Roman" w:hAnsi="Times New Roman"/>
          <w:b/>
          <w:i/>
          <w:iCs/>
          <w:noProof/>
        </w:rPr>
        <w:t>data</w:t>
      </w:r>
      <w:r>
        <w:rPr>
          <w:rFonts w:ascii="Times New Roman" w:hAnsi="Times New Roman"/>
          <w:b/>
          <w:noProof/>
        </w:rPr>
        <w:t>, l-interoperabbiltà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Biex mid-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jinħoloq valur ekonomiku u soċjali, l-Istrateġija Ewropea għad-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tiddependi fuq ekosistema prosperuża ta’ atturi privati. In-negozji l-ġodda u n-negozji li qed ikabbru se jkunu qed jaqdu rwol ewlieni fl-iżvilupp u fit-tkattir ta’ mudelli ġodda u innovattivi tan-negozju li jieħdu vantaġġ sħiħ mir-rivoluzzjoni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>. L-Ewropa jenħtieġ toffri ambjent li jappoġġa l-innovazzjoni mmexxija mid-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u li jistimula d-domanda għal prodotti u servizzi li jiddependu fuq 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bħala fattur importanti tal-produzzjoni.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Biex isir progress malajr fl-innovazzjoni mmexxija mid-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f’oqsma strateġiċi hemm bżonn isiru investimenti mis-settur privat u mis-settur pubbliku. Il-Kummissjoni se tuża s-setgħa tagħha li tlaqqa’ flimkien, u l-programmi ta’ finanzjament tal-UE biex issaħħaħ is-sovranità teknoloġika tal-Ewropa għall-ekonomija aġli mil-lat ta’ 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. Dan isir bil-ħolqien ta’ standards, bl-iżvilupp ta’ għodod, bil-ġbir tal-aqwa prattiki għat-trattament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personali (l-aktar fejn tidħol il-psewdonimizzazzjoni) u bit-tkattir tal-infrastrutturi tal-ġenerazzjoni li jmiss għall-ipproċessar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. Meta rilevanti, l-investimenti jiġu kkoordinati mal-awtoritajiet rilevanti fl-Istati Membri u jitwettqu bi sħab, bi qbil mar-regoli dwar l-għajnuna mill-Istat, b’finanzjament nazzjonali u reġjonali u b’investimenti permezz tal-fondi strutturali u ta’ investiment. 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Tul il-perjodu 2021-2027, </w:t>
      </w:r>
      <w:r>
        <w:rPr>
          <w:rFonts w:ascii="Times New Roman" w:hAnsi="Times New Roman"/>
          <w:b/>
          <w:noProof/>
        </w:rPr>
        <w:t>il-Kummissjoni se tinvesti fi Proġett ta’ Impatt Kbir ta’ spazji Ewropej tad-</w:t>
      </w:r>
      <w:r>
        <w:rPr>
          <w:rFonts w:ascii="Times New Roman" w:hAnsi="Times New Roman"/>
          <w:b/>
          <w:i/>
          <w:iCs/>
          <w:noProof/>
        </w:rPr>
        <w:t>data</w:t>
      </w:r>
      <w:r>
        <w:rPr>
          <w:rFonts w:ascii="Times New Roman" w:hAnsi="Times New Roman"/>
          <w:b/>
          <w:noProof/>
        </w:rPr>
        <w:t xml:space="preserve"> u infrastrutturi federati tal-cloud</w:t>
      </w:r>
      <w:r>
        <w:rPr>
          <w:rFonts w:ascii="Times New Roman" w:hAnsi="Times New Roman"/>
          <w:noProof/>
        </w:rPr>
        <w:t>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Il-proġett se jiffinanzja infrastrutturi, għodod tal-kondiviżjoni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, strutturi u mekkaniżmi tal-governanza għal ekosistemi sodi tal-kondiviżjoni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u tal-Intelliġenza Artifiċjali. Dan ikun ibbażat fuq il-federazzjoni Ewropea (jiġifieri l-interkonnessjoni) ta’ infrastrutturi effiċjenti fl-enerġija u affidabbli tal-edge u tal-cloud computing (is-servizzi tal-Infrastruttura bħala Servizz, tal-Pjattaforma bħala Servizz, u tas-Software bħala Servizz). Dan jindirizza l-ħtiġijiet speċifiċi tal-industriji fl-UE, fosthom il-mudelli ibridi tal-implimentazzjoni tal-cloud li jippermettu l-ipproċessar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fit-tarf mingħajr latenza (l-hekk imsejħa cloud-to-edge). Dan il-proġett jinvolvi l-ekosistema Ewropea tal-kumpaniji intensivi fid-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u hu ta’ benefiċċju għalihom; u se jappoġġa lill-kumpaniji Ewropej u lis-settur pubbliku fit-trasformazzjoni diġitali tagħhom.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Biex dan il-proġett ikun kredibbli bħala inizjattiva pan-Ewropea, dan jeħtieġ livell adegwat ta’ investiment. L-Istati Membri u l-industrija huma mistennija jikkoinvestu mal-Kummissjoni fil-proġett, li b’kollox jaf jammonta għal investiment ta’ madwar EUR 4-6 biljun, u li minnhom il-Kummissjoni tista’ timmira li tiffinanzja EUR 2 biljun permezz ta’ bosta programmi ta’ finanzjament, diment li dan ikun miftiehem fil-Qafas Finanzjarju Pluriennali li jmiss.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Dan il-Proġett jeħtieġ jitqies fil-kuntest ta’ </w:t>
      </w:r>
      <w:r>
        <w:rPr>
          <w:rFonts w:ascii="Times New Roman" w:hAnsi="Times New Roman"/>
          <w:b/>
          <w:noProof/>
        </w:rPr>
        <w:t>sett usa’ ta’ investimenti strateġiċi tal-UE f’teknoloġiji ġodda</w:t>
      </w:r>
      <w:r>
        <w:rPr>
          <w:rFonts w:ascii="Times New Roman" w:hAnsi="Times New Roman"/>
          <w:noProof/>
        </w:rPr>
        <w:t xml:space="preserve"> li l-Kummissjoni se tippreżenta f’Marzu 2020 </w:t>
      </w:r>
      <w:r>
        <w:rPr>
          <w:rFonts w:ascii="Times New Roman" w:hAnsi="Times New Roman"/>
          <w:b/>
          <w:noProof/>
        </w:rPr>
        <w:t>bħala parti mill-istrateġija industrijali tagħha</w:t>
      </w:r>
      <w:r>
        <w:rPr>
          <w:rFonts w:ascii="Times New Roman" w:hAnsi="Times New Roman"/>
          <w:noProof/>
        </w:rPr>
        <w:t>. Dawn jikkonċernaw b’mod partikolari l-finanzjament għall-edge computing, il-computing ta’ prestazzjoni għolja/il-computing kwantistiku, iċ-ċibersigurtà, il-proċessuri b’konsum baxx tal-enerġija u n-netwerks 6G. Dawn l-investimenti huma essenzjali għall-infrastruttura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tal-UE tal-futur, biex l-Ewropa tkun mgħammra b’infrastrutturi, qawwa komputazzjonali, kapaċità tal-kriptaġġ u għodod taċ-ċibersigurtà li jkunu adegwati għall-ipproċessar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.</w:t>
      </w:r>
    </w:p>
    <w:p>
      <w:pPr>
        <w:keepNext/>
        <w:spacing w:after="120"/>
        <w:jc w:val="both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/>
          <w:i/>
          <w:noProof/>
        </w:rPr>
        <w:t>Proġett ta’ Impatt Kbir: niżviluppaw spazji komuni Ewropej tad-</w:t>
      </w:r>
      <w:r>
        <w:rPr>
          <w:rFonts w:ascii="Times New Roman" w:hAnsi="Times New Roman"/>
          <w:noProof/>
        </w:rPr>
        <w:t>data</w:t>
      </w:r>
      <w:r>
        <w:rPr>
          <w:rFonts w:ascii="Times New Roman" w:hAnsi="Times New Roman"/>
          <w:i/>
          <w:noProof/>
        </w:rPr>
        <w:t xml:space="preserve"> u nagħmlu interkonnessjonijiet ta’ infrastrutturi cloud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</w:rPr>
        <w:t xml:space="preserve">B’mod konkret, il-Kummissjoni beħsiebha tiffinanzja </w:t>
      </w:r>
      <w:r>
        <w:rPr>
          <w:rFonts w:ascii="Times New Roman" w:hAnsi="Times New Roman"/>
          <w:b/>
          <w:noProof/>
        </w:rPr>
        <w:t>l-istabbiliment ta’ spazji komuni u interoperabbli tad-</w:t>
      </w:r>
      <w:r>
        <w:rPr>
          <w:rFonts w:ascii="Times New Roman" w:hAnsi="Times New Roman"/>
          <w:b/>
          <w:i/>
          <w:iCs/>
          <w:noProof/>
        </w:rPr>
        <w:t>data</w:t>
      </w:r>
      <w:r>
        <w:rPr>
          <w:rFonts w:ascii="Times New Roman" w:hAnsi="Times New Roman"/>
          <w:b/>
          <w:noProof/>
        </w:rPr>
        <w:t xml:space="preserve"> madwar l-UE kollha</w:t>
      </w:r>
      <w:r>
        <w:rPr>
          <w:rFonts w:ascii="Times New Roman" w:hAnsi="Times New Roman"/>
          <w:noProof/>
        </w:rPr>
        <w:t xml:space="preserve"> f’setturi strateġiċi. Dawn l-ispazji għandhom l-għan li jegħlbu l-ostakli legali u tekniċi għall-kondiviżjoni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bejn l-organizzazzjonijiet, billi jżewġu l-għodod u l-infrastrutturi meħtieġa u jindirizzaw il-kwistjonijiet ta’ fiduċja, ngħidu aħna b’regoli komuni żviluppati għall-ispazju. L-ispazji se jinvolvu: (i) l-implimentazzjoni ta’ għodod u pjattaformi għall-kondiviżjoni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; (ii) it-twaqqif ta’ oqfsa ta’ governanza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; (iii) it-titjib tad-disponibbiltà, tal-kwalità u tal-interoperabbiltà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– kemm f’kuntesti speċifiċi għad-dominji u anki fost is-setturi. Il-finanzjament se jappoġġa wkoll lill-awtoritajiet tal-Istati Membri biex is-settijiet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ta’ valur kbir isiru disponibbli biex jintużaw mill-ġdid fl-ispazji komuni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differenti.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</w:rPr>
        <w:t>L-appoġġ għall-ispazji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se jkopri wkoll l-ipproċessar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u l-kapaċitajiet tal-computing li jikkonformaw mar-rekwiżiti essenzjali mil-lat ta’ prestazzjoni ambjentali, sigurtà, protezzjoni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, interoperabbiltà u skalabbiltà.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B’enfasi fuq l-oqsma fejn l-appoġġ fil-livell tal-UE għandu valur miżjud ċar, l-investimenti jistgħu jkopru wkoll l-interkonnessjoni ta’ kapaċitajiet tal-computing eżistenti fil-livell nazzjonali</w:t>
      </w:r>
      <w:r>
        <w:rPr>
          <w:rStyle w:val="FootnoteReference"/>
          <w:rFonts w:ascii="Times New Roman" w:hAnsi="Times New Roman" w:cs="Times New Roman"/>
          <w:noProof/>
        </w:rPr>
        <w:footnoteReference w:id="48"/>
      </w:r>
      <w:r>
        <w:rPr>
          <w:rFonts w:ascii="Times New Roman" w:hAnsi="Times New Roman"/>
          <w:noProof/>
        </w:rPr>
        <w:t xml:space="preserve"> u Ewropew, fosthom il-kapaċitajiet tal-Computing ta’ Prestazzjoni Għolja</w:t>
      </w:r>
      <w:r>
        <w:rPr>
          <w:rStyle w:val="FootnoteReference"/>
          <w:rFonts w:ascii="Times New Roman" w:hAnsi="Times New Roman" w:cs="Times New Roman"/>
          <w:noProof/>
        </w:rPr>
        <w:footnoteReference w:id="49"/>
      </w:r>
      <w:r>
        <w:rPr>
          <w:rFonts w:ascii="Times New Roman" w:hAnsi="Times New Roman"/>
          <w:noProof/>
        </w:rPr>
        <w:t>, u – meta meħtieġ – se jġibu flimkien il-kapaċità tar-riżorsi tal-ipproċessar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. L-għan hu li tingħata għajnuna biex jitwaqqfu infrastrutturi komuni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u tal-cloud ta’ klassi dinjija għall-ġid pubbliku, li jkunu jippermettu ħażna u pproċessar siguri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għas-settur pubbliku u għall-istituzzjonijiet tar-riċerka. Huma mistennija effetti pożittivi simili mill-interkonnessjoni mal-Cloud Ewropew tax-Xjenza Miftuħa (l-EOSC) u l-pjattaforma bbażata fuq il-cloud tas-Servizzi tal-Aċċess għad-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u għall-Informazzjoni (id-DIAS) li tipprovdi aċċess għal servizzi bbażati fuq 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tal-osservazzjoni tad-dinja ta’ Copernicus. 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</w:rPr>
        <w:t>Anki s-settur privat, inkluż b’mod partikolari l-SMEs, jeħtieġ infrastrutturi u servizzi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u tal-cloud li jipprovdu l-karatteristiċi essenzjali tas-sigurtà, is-sostenibbiltà, l-interoperabbiltà u l-iskalabbiltà. Dan hu essenzjali biex in-negozji Ewropej jibbenefikaw minn katina tal-valur sħiħa tal-iġġenerar, tal-ipproċessar, tal-aċċess u tal-użu mill-ġdid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Style w:val="FootnoteReference"/>
          <w:rFonts w:ascii="Times New Roman" w:hAnsi="Times New Roman" w:cs="Times New Roman"/>
          <w:noProof/>
        </w:rPr>
        <w:footnoteReference w:id="50"/>
      </w:r>
      <w:r>
        <w:rPr>
          <w:rFonts w:ascii="Times New Roman" w:hAnsi="Times New Roman"/>
          <w:noProof/>
        </w:rPr>
        <w:t>. L-investiment ilaqqa’ flimkien lill-atturi privati bl-appoġġ pubbliku biex jiżviluppaw pjattaformi komuni li jagħtu aċċess għal diversità kbira ta’ servizzi tal-cloud għal ħżin u kondiviżjoni siguri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kif ukoll applikazzjonijiet li jvarjaw mill-intelliġenza artifiċjali, is-simulazzjoni, l-immudellar, sat-tewmin diġitali u r-riżorsi tal-Computing ta’ Prestazzjoni Għolja (HPC). Il-pjattaforma se tkopri s-saffi kollha tal-infrastruttura u s-servizzi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u tal-computing, u se taħtaf l-opportunitajiet tal-aħħar żviluppi fosthom tal-edge computing, il-varar tal-5G u l-użu tal-Internet tal-Oġġetti fost is-setturi industrijali. Din tgħin ukoll biex fl-Ewropa tinħoloq ekosistema dinamika għal industrija tal-provvista bbażata fuq 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u fuq il-cloud tul il-katina tal-valur.</w:t>
      </w:r>
    </w:p>
    <w:p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Il-komponent tal-federazzjoni tal-cloud tal-Proġett ta’ Impatt Kbir se jrawwem l-ibbilanċjar mill-ġdid gradwali bejn infrastruttura ċentralizzata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fil-cloud u ipproċessar distribwit u intelliġenti ħafna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fit-tarf. Għalhekk proġett bħal dan jenħtieġ li sa mill-bidu nett ikun jgħaqqad il-kapaċitajiet emerġenti fl-edge computing. Minbarra dan, tul iż-żmien, il-proġett jenħtieġ jippermetti aċċess għall-aqwa kompjuters ta’ prestazzjoni għolja u l-integrazzjoni tiegħu ma’ servizzi ewlenin tal-ipproċessar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. Dan se jipprovdi kontinwità bla xkiel tal-computing biex jinkiseb l-akbar tkabbir u sfruttament tal-ispazji komuni Ewropej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għall-applikazzjonijiet pubbliċi, industrijali u xjentifiċi.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F’dan il-kuntest, il-Kummissjoni se trawwem sinerġiji bejn il-ħidma fuq il-federazzjoni Ewropea tal-cloud u l-inizjattivi tal-Istati Membri bħal Gaia-X</w:t>
      </w:r>
      <w:r>
        <w:rPr>
          <w:rStyle w:val="FootnoteReference"/>
          <w:rFonts w:ascii="Times New Roman" w:hAnsi="Times New Roman" w:cs="Times New Roman"/>
          <w:noProof/>
        </w:rPr>
        <w:footnoteReference w:id="51"/>
      </w:r>
      <w:r>
        <w:rPr>
          <w:rFonts w:ascii="Times New Roman" w:hAnsi="Times New Roman"/>
          <w:noProof/>
        </w:rPr>
        <w:t>. Dan hu meħtieġ biex tkun evitata multiplikazzjoni ta’ inizjattivi frammentati tal-federazzjoni tal-cloud u tal-kondiviżjoni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, għax is-suċċess ta’ inizjattiva bħal din jiddependi fuq parteċipazzjoni pan-Ewropea u l-kapaċità ta’ skalar. Għaldaqstant, il-Kummissjoni se tiffaċilita </w:t>
      </w:r>
      <w:r>
        <w:rPr>
          <w:rFonts w:ascii="Times New Roman" w:hAnsi="Times New Roman"/>
          <w:b/>
          <w:noProof/>
        </w:rPr>
        <w:t>Memoranda ta’ Ftehim mal-Istati Membri sal-Q3 2020</w:t>
      </w:r>
      <w:r>
        <w:rPr>
          <w:rFonts w:ascii="Times New Roman" w:hAnsi="Times New Roman"/>
          <w:noProof/>
        </w:rPr>
        <w:t xml:space="preserve"> u tibda minn dawk li diġà għandhom inizjattivi tal-federazzjoni tal-cloud u tal-kondiviżjoni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. </w:t>
      </w:r>
    </w:p>
    <w:p>
      <w:pPr>
        <w:spacing w:after="120"/>
        <w:jc w:val="both"/>
        <w:outlineLvl w:val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</w:rPr>
        <w:t>Nippermettu l-aċċess għal servizzi kompetittivi, siguri u ġusti tal-cloud Ewropej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Biex jitħarsu d-drittijiet u l-interessi tal-kumpaniji u taċ-ċittadini tal-UE, il-Kummissjoni bl-appoġġ tal-awtoritajiet rilevanti tal-Istati Membri se tagħti attenzjoni partikolari għall-aderenza tal-fornituri tas-servizzi tal-cloud li joperaw fis-suq tal-UE mar-regoli tal-UE (eż. ir-Regolament Ġenerali dwar il-Protezzjoni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, ir-Regolament dwar il-Fluss Liberu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mhux personali, u l-Att dwar iċ-Ċibersigurtà) u, meta rilevanti, l-implimentazzjoni prevista tagħhom b’mekkaniżmi awtoregolatorji u koregolatorji u b’mezzi teknoloġiċi biex tiżdied il-fiduċja, fosthom is-sigurtà sa mit-tfassil  u l-konformità awtomatizzata. Sal-lum il-fornituri u l-utenti tal-cloud ma għandhomx tagħrif komprensiv dwar dawn ir-regoli tal-UE u l-iskemi awtoregolatorji u koregolatorji. F’dan il-kuntest, </w:t>
      </w:r>
      <w:r>
        <w:rPr>
          <w:rFonts w:ascii="Times New Roman" w:hAnsi="Times New Roman"/>
          <w:b/>
          <w:noProof/>
        </w:rPr>
        <w:t>sal-Q2 2022</w:t>
      </w:r>
      <w:r>
        <w:rPr>
          <w:rFonts w:ascii="Times New Roman" w:hAnsi="Times New Roman"/>
          <w:noProof/>
        </w:rPr>
        <w:t>, il-Kummissjoni se tistabbilixxi qafas koerenti madwar ir-regoli applikabbli differenti (inkluż l-awtoregolamentazzjoni) għas-servizzi tal-cloud, fil-forma ta’ “</w:t>
      </w:r>
      <w:r>
        <w:rPr>
          <w:rFonts w:ascii="Times New Roman" w:hAnsi="Times New Roman"/>
          <w:b/>
          <w:noProof/>
        </w:rPr>
        <w:t>ġabra ta’ regoli għall-cloud</w:t>
      </w:r>
      <w:r>
        <w:rPr>
          <w:rFonts w:ascii="Times New Roman" w:hAnsi="Times New Roman"/>
          <w:noProof/>
        </w:rPr>
        <w:t>”.</w:t>
      </w:r>
      <w:r>
        <w:rPr>
          <w:rFonts w:ascii="Times New Roman" w:hAnsi="Times New Roman"/>
          <w:b/>
          <w:noProof/>
        </w:rPr>
        <w:t xml:space="preserve"> </w:t>
      </w:r>
      <w:r>
        <w:rPr>
          <w:rFonts w:ascii="Times New Roman" w:hAnsi="Times New Roman"/>
          <w:noProof/>
        </w:rPr>
        <w:t xml:space="preserve">Qabelxejn, il-ġabra ta’ regoli għall-cloud tkun </w:t>
      </w:r>
      <w:r>
        <w:rPr>
          <w:rFonts w:ascii="Times New Roman" w:hAnsi="Times New Roman"/>
          <w:b/>
          <w:noProof/>
        </w:rPr>
        <w:t>kompendju ta’ kodiċijiet tal-kondotta eżistenti għall-cloud</w:t>
      </w:r>
      <w:r>
        <w:rPr>
          <w:rFonts w:ascii="Times New Roman" w:hAnsi="Times New Roman"/>
          <w:b/>
          <w:bCs/>
          <w:noProof/>
        </w:rPr>
        <w:t xml:space="preserve"> u ċertifikazzjoni</w:t>
      </w:r>
      <w:r>
        <w:rPr>
          <w:rFonts w:ascii="Times New Roman" w:hAnsi="Times New Roman"/>
          <w:noProof/>
        </w:rPr>
        <w:t xml:space="preserve"> dwar is-sigurtà, l-effiċjenza enerġetika, il-kwalità tas-servizz, il-protezzjoni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u l-portabbiltà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.</w:t>
      </w:r>
      <w:r>
        <w:rPr>
          <w:noProof/>
        </w:rPr>
        <w:t xml:space="preserve"> </w:t>
      </w:r>
      <w:r>
        <w:rPr>
          <w:rFonts w:ascii="Times New Roman" w:hAnsi="Times New Roman"/>
          <w:noProof/>
        </w:rPr>
        <w:t>Se jiġi kkunsidrat li fil-qasam tal-effiċjenza fl-enerġija tittieħed azzjoni aktar bikrija.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B’koerenza mal-ġabra tar-regoli għall-cloud, il-Kummissjoni se tiffaċilita l-iżvilupp ta’ </w:t>
      </w:r>
      <w:r>
        <w:rPr>
          <w:rFonts w:ascii="Times New Roman" w:hAnsi="Times New Roman"/>
          <w:b/>
          <w:noProof/>
        </w:rPr>
        <w:t>standards u rekwiżiti Ewropej komuni għall-akkwist pubbliku ta’ servizzi tal-ipproċessar tad-</w:t>
      </w:r>
      <w:r>
        <w:rPr>
          <w:rFonts w:ascii="Times New Roman" w:hAnsi="Times New Roman"/>
          <w:b/>
          <w:i/>
          <w:iCs/>
          <w:noProof/>
        </w:rPr>
        <w:t>data</w:t>
      </w:r>
      <w:r>
        <w:rPr>
          <w:rFonts w:ascii="Times New Roman" w:hAnsi="Times New Roman"/>
          <w:noProof/>
        </w:rPr>
        <w:t>. B’hekk, is-settur pubbliku tal-UE fil-livell Ewropew, nazzjonali, reġjonali u lokali jkun jista’ jsir ukoll mutur għal kapaċitajiet ġodda tal-UE fl-ipproċessar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, minflok sempliċiment benefiċjarju ta’ dawn l-infrastrutturi Ewropej</w:t>
      </w:r>
      <w:r>
        <w:rPr>
          <w:rStyle w:val="FootnoteReference"/>
          <w:rFonts w:ascii="Times New Roman" w:hAnsi="Times New Roman" w:cs="Times New Roman"/>
          <w:noProof/>
        </w:rPr>
        <w:footnoteReference w:id="52"/>
      </w:r>
      <w:r>
        <w:rPr>
          <w:rFonts w:ascii="Times New Roman" w:hAnsi="Times New Roman"/>
          <w:noProof/>
        </w:rPr>
        <w:t xml:space="preserve">. 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Jenħtieġ li biex dan il-potenzjal jiġi sfruttat għalkollox, issir ħidma addizzjonali biex jiġu konnessi organizzazzjonijiet min-naħa tad-domanda fis-settur privat u pubbliku għal offerti ġodda u innovattivi ta’ servizzi mfassla apposta tal-ipproċessar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, speċifikament fil-livell tal-Pjattaforma bħala Servizz u fil-livell tas-Software bħala Servizz. Il-Kummissjoni se tiffaċilita t-twaqqif ta’ </w:t>
      </w:r>
      <w:r>
        <w:rPr>
          <w:rFonts w:ascii="Times New Roman" w:hAnsi="Times New Roman"/>
          <w:b/>
          <w:noProof/>
        </w:rPr>
        <w:t>suq tas-servizzi tal-cloud</w:t>
      </w:r>
      <w:r>
        <w:rPr>
          <w:rFonts w:ascii="Times New Roman" w:hAnsi="Times New Roman"/>
          <w:noProof/>
        </w:rPr>
        <w:t xml:space="preserve"> għall-utenti tal-UE mis-settur privat u pubbliku </w:t>
      </w:r>
      <w:r>
        <w:rPr>
          <w:rFonts w:ascii="Times New Roman" w:hAnsi="Times New Roman"/>
          <w:b/>
          <w:noProof/>
        </w:rPr>
        <w:t>sal-Q4 2022</w:t>
      </w:r>
      <w:r>
        <w:rPr>
          <w:rFonts w:ascii="Times New Roman" w:hAnsi="Times New Roman"/>
          <w:noProof/>
        </w:rPr>
        <w:t>. Is-suq iqiegħed lill-utenti potenzjali (b’mod partikolari lis-settur pubbliku u lill-SMEs) f’pożizzjoni li jagħżlu offerti ta’ servizzi tal-ipproċessar tal-cloud, tas-software u tal-pjattaforma li jkunu jaqblu ma’ bosta rekwiżiti f’oqsma bħall-protezzjoni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, is-sigurtà, il-portabbiltà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, l-effiċjenza enerġetika u l-prassi tas-suq. Il-fornituri tas-servizzi jitħallew jipparteċipaw fis-suq diment li jkollhom kundizzjonijiet kuntrattwali trasparenti u ġusti, għax is-suq attwali mhux dejjem jipprovdi dan, speċjalment lill-utenti tal-mikrointrapriżi u tal-SMEs</w:t>
      </w:r>
      <w:r>
        <w:rPr>
          <w:rStyle w:val="FootnoteReference"/>
          <w:rFonts w:ascii="Times New Roman" w:hAnsi="Times New Roman" w:cs="Times New Roman"/>
          <w:noProof/>
        </w:rPr>
        <w:footnoteReference w:id="53"/>
      </w:r>
      <w:r>
        <w:rPr>
          <w:rFonts w:ascii="Times New Roman" w:hAnsi="Times New Roman"/>
          <w:noProof/>
        </w:rPr>
        <w:t>. Is-suq jista’ jiffaċilita l-akkwist mis-settur pubbliku ta’ soluzzjonijiet alternattivi, filwaqt li l-użu min-naħa tas-settur pubbliku jista’ jappoġġa s-suq minħabba d-domanda aggregata ġmielha tiegħu.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Filwaqt li għadd ta’ Stati Membri diġà qed jiżviluppaw inizjattivi ta’ suq bħal dawn fil-livell nazzjonali, il-vantaġġ ta’ suq tas-servizzi tal-cloud fil-livell tal-UE hu doppju: l-ewwel nett dan jista’ jsolvi l-problema attwali ta’ asimetrija tas-suq bejn l-atturi dinjin tal-iperskala li ħafna drabi joffru soluzzjonijiet integrati li jkun fihom applikazzjonijiet provduti wkoll minn atturi iżgħar (tal-UE). It-tieni, dan jista’ joħloq ċerta ċarezza fejn tidħol il-konformità tas-servizzi tal-cloud mar-regoli rilevanti. Dan jiżgura tqabbil aħjar bejn l-offerti u d-domanda tal-UE li ssir b’mod partikolari min-naħa tal-amministrazzjonijiet pubbliċi, is-servizzi ta’ interess pubbliku ġenerali u l-SMEs.</w:t>
      </w:r>
    </w:p>
    <w:p>
      <w:pPr>
        <w:keepNext/>
        <w:spacing w:after="12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</w:rPr>
        <w:t>Nappoġġaw il-progress fit-teknoloġiji tad-</w:t>
      </w:r>
      <w:r>
        <w:rPr>
          <w:rFonts w:ascii="Times New Roman" w:hAnsi="Times New Roman"/>
          <w:noProof/>
        </w:rPr>
        <w:t>data</w:t>
      </w:r>
      <w:r>
        <w:rPr>
          <w:rFonts w:ascii="Times New Roman" w:hAnsi="Times New Roman"/>
          <w:i/>
          <w:noProof/>
        </w:rPr>
        <w:t xml:space="preserve"> </w:t>
      </w:r>
    </w:p>
    <w:p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Il-programm Orizzont Ewropa se jibqa’ jappoġġa lil teknoloġiji kruċjali għall-istadji li jmiss tal-ekonomija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, fosthom it-teknoloġiji li jibżgħu għall-privatezza u t-teknoloġiji li jirfdu l-ispazji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industrijali u personali. Diversi sħubiji kandidati ta’ Orizzont Ewropa li qed jitħejjew, bħas-sħubija għall-Intelliġenza Artifiċjali, 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u r-robotika, u s-sħubija tal-Cloud Ewropea tax-Xjenza Miftuħa, jistgħu jgħinu biex jidderieġu l-investimenti f’dan il-qasam.</w:t>
      </w:r>
    </w:p>
    <w:p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L-azzjonijiet ewlenin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2" w:hanging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- Ninvestu fi </w:t>
      </w:r>
      <w:r>
        <w:rPr>
          <w:rFonts w:ascii="Times New Roman" w:hAnsi="Times New Roman"/>
          <w:b/>
          <w:noProof/>
        </w:rPr>
        <w:t>Proġett ta’ Impatt Kbir dwar l-ispazji Ewropej tad-</w:t>
      </w:r>
      <w:r>
        <w:rPr>
          <w:rFonts w:ascii="Times New Roman" w:hAnsi="Times New Roman"/>
          <w:b/>
          <w:i/>
          <w:iCs/>
          <w:noProof/>
        </w:rPr>
        <w:t>data</w:t>
      </w:r>
      <w:r>
        <w:rPr>
          <w:rFonts w:ascii="Times New Roman" w:hAnsi="Times New Roman"/>
          <w:noProof/>
        </w:rPr>
        <w:t>, li jinkludi strutturi għall-kondiviżjoni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(inkluż standards għall-kondiviżjoni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, l-aqwa prattiki, għodod) u mekkaniżmi tal-governanza, kif ukoll il-federazzjoni Ewropea ta’ infrastrutturi effiċjenti fl-enerġija u affidabbli tal-cloud, u s-servizzi relatati, ħalli jiġu ffaċilitati investimenti kombinati ta’ EUR 4-6 biljun, li minnhom il-Kummissjoni tista’ timmira li tinvesti EUR 2 biljun. L-ewwel fażi tal-implimentazzjoni hi prevista għall-2022;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- Niffirmaw Memoranda ta’ Ftehim mal-Istati Membri dwar il-federazzjoni tal-cloud, Q3 2020;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- Inniedu suq Ewropew tas-servizzi tal-cloud li jintegra ġabra sħiħa ta’ offerti ta’ servizzi tal-cloud, Q4 2022;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- Noħolqu ġabra (awto)regolatorja ta’ regoli għall-cloud tal-UE, Q2 2022.</w:t>
      </w:r>
    </w:p>
    <w:p>
      <w:pPr>
        <w:keepNext/>
        <w:numPr>
          <w:ilvl w:val="0"/>
          <w:numId w:val="3"/>
        </w:numPr>
        <w:spacing w:after="120"/>
        <w:ind w:left="36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</w:rPr>
        <w:t>Il-kompetenzi: Nagħtu s-setgħa lill-individwi, ninvestu fil-ħiliet u fl-SMEs</w:t>
      </w:r>
    </w:p>
    <w:p>
      <w:pPr>
        <w:keepNext/>
        <w:spacing w:after="12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</w:rPr>
        <w:t>Nagħtu s-setgħa lill-individwi fir-rigward tad-</w:t>
      </w:r>
      <w:r>
        <w:rPr>
          <w:rFonts w:ascii="Times New Roman" w:hAnsi="Times New Roman"/>
          <w:noProof/>
        </w:rPr>
        <w:t>data</w:t>
      </w:r>
      <w:r>
        <w:rPr>
          <w:rFonts w:ascii="Times New Roman" w:hAnsi="Times New Roman"/>
          <w:i/>
          <w:noProof/>
        </w:rPr>
        <w:t xml:space="preserve"> tagħhom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L-individwi jenħtieġ jingħataw aktar appoġġ fl-infurzar tad-drittijiet tagħhom fir-rigward tal-użu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li dawn jiġġeneraw. Dawn jista’ jkollhom is-setgħa li jikkontrollaw 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tagħhom b’għodod u mezzi biex jiddeċiedu f’livell granulari dwar xi jsir bid-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tagħhom (“spazji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personali”). Dan jista’ jiġi appoġġat jekk jissaħħaħ id-dritt tal-portabbiltà għall-individwi skont l-Artikolu 20 tal-GDPR, jekk jingħataw aktar kontroll fuq min jista’ jaċċessa u juża 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ġġenerata mill-magni, pereżempju b’rekwiżiti aktar stretti dwar l-interfaċċi tal-aċċess għad-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f’ħin reali, u jekk il-formati li jinqraw mill-magni jsiru obbligatorji għad-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minn ċerti prodotti u servizzi, bħad-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ġġenerata minn apparati intelliġenti tad-dar jew minn oġġetti elettroniċi li jintlibsu. Minbarra dan, jistgħu jiġu kkunsidrati regoli għal fornituri tal-apps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personali jew għal intermedjarji ġodda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bħall-fornituri tal-ispazji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personali, li jiżguraw ir-rwol tagħhom bħala sensar newtrali</w:t>
      </w:r>
      <w:r>
        <w:rPr>
          <w:rStyle w:val="FootnoteReference"/>
          <w:rFonts w:ascii="Times New Roman" w:hAnsi="Times New Roman" w:cs="Times New Roman"/>
          <w:noProof/>
        </w:rPr>
        <w:footnoteReference w:id="54"/>
      </w:r>
      <w:r>
        <w:rPr>
          <w:rFonts w:ascii="Times New Roman" w:hAnsi="Times New Roman"/>
          <w:noProof/>
        </w:rPr>
        <w:t>. Dawn il-kwistjonijiet jistgħu jiġu esplorati aktar fil-kuntest tal-Att dwar 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msemmi hawn fuq. Il-programm Ewropa Diġitali se jappoġġa wkoll l-iżvilupp u l-introduzzjoni ta’ “spazji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personali”.</w:t>
      </w:r>
    </w:p>
    <w:p>
      <w:pPr>
        <w:keepNext/>
        <w:spacing w:after="12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</w:rPr>
        <w:t>Investimenti fil-ħiliet u fil-litteriżmu ġenerali fid-</w:t>
      </w:r>
      <w:r>
        <w:rPr>
          <w:rFonts w:ascii="Times New Roman" w:hAnsi="Times New Roman"/>
          <w:noProof/>
        </w:rPr>
        <w:t>data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Il-finanzjament maħsub għall-ħiliet mill-programm Ewropa Diġitali se jikkontribwixxi biex jonqos id-distakk mil-lat ta’ Big Data u kapaċitajiet analitiċi. Il-programm se jalloka fondi biex tikber il-massa tat-talent diġitali b’madwar 250 000 persuna li se jkunu jistgħu jużaw l-aktar teknoloġiji riċenti fin-negozji tal-UE kollha. Minħabba l-importanza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fl-ekonomija diġitali, ħafna minnhom aktarx ikunu relatati mad-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B’mod ġenerali, sal-2025, l-UE u l-Istati Membri jenħtieġ ikunu naqqsu d-distakk attwali ta’ miljun speċjalist diġitali bin-nofs, fost l-oħrajn billi jiffokaw fuq iż-żieda fil-parteċipazzjoni tan-nisa.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Se tibqa’ tiġi mistħarrġa l-idea ta’ netwerk ta’ amministraturi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minn fost organizzazzjonijiet intensivi fid-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(kemm negozji kif ukoll is-settur pubbliku) li ppreżenta grupp ta’ esperti dwar il-kondiviżjoni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min-negozji għall-gvern (B2G).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B’rabta mal-litteriżmu ġenerali fid-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, l-aġenda tal-Ħiliet Imsaħħa se tistabbilixxi perkors li juri kif l-azzjoni tal-UE u tal-Istati Membri tista’ żżid il-proporzjon tal-popolazzjoni tal-UE bil-ħiliet diġitali bażiċi minn 57 % kif inhuma bħalissa għal 65 % sal-2025.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Il-Big Data u l-analitika tal-apprendiment jiftħu opportunitajiet ġodda għal ġbir, analiżi u użu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biex jitjiebu l-edukazzjoni u t-taħriġ. Waħda mill-prijoritajiet ewlenin tal-</w:t>
      </w:r>
      <w:r>
        <w:rPr>
          <w:rFonts w:ascii="Times New Roman" w:hAnsi="Times New Roman"/>
          <w:b/>
          <w:noProof/>
        </w:rPr>
        <w:t>Pjan ta’ Azzjoni aġġornat għall-Edukazzjoni Diġitali</w:t>
      </w:r>
      <w:r>
        <w:rPr>
          <w:rFonts w:ascii="Times New Roman" w:hAnsi="Times New Roman"/>
          <w:noProof/>
        </w:rPr>
        <w:t xml:space="preserve"> hi li jissaħħaħ l-aċċess għad-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u l-użu tagħha, ħalli l-istituzzjonijiet tal-edukazzjoni u t-taħriġ ikunu lesti għall-era diġitali u mgħammra bil-kapaċitajiet meħtieġa għal deċiżjonijiet aħjar u biex jitjiebu l-ħiliet u l-kompetenzi.</w:t>
      </w:r>
    </w:p>
    <w:p>
      <w:pPr>
        <w:keepNext/>
        <w:spacing w:after="12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</w:rPr>
        <w:t>Insawru l-kapaċitajiet li jeħtieġu l-SMEs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L-istrateġija Ewropea tal-SMEs li jmiss se tfassal miżuri li jsawru l-kapaċità tal-SMEs u tan-negozji ġodda. 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hi assi importanti f’dan il-kuntest għax il-bidu jew l-iskalar ta’ kumpanija bbażata fuq 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mhumiex intensivi ħafna fil-kapital. Ħafna drabi, l-SMEs u n-negozji ġodda ikunu jeħtieġu pariri legali u regolatorji biex jaħtfu bis-sħiħ id-diversi opportunitajiet li joffru l-mudelli tan-negozju bbażati fuq 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Il-programmi Orizzont Ewropa u Ewropa Diġitali kif ukoll il-fondi strutturali u ta’ investiment se joħolqu opportunitajiet għall-SMEs fl-ekonomija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, biex ikollhom aċċess aħjar għad-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u biex jiżviluppaw servizzi u applikazzjonijiet ġodda bbażati fuq 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, bħal pereżempju bi skemi ta’ inkubazzjoni.</w:t>
      </w:r>
    </w:p>
    <w:p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L-azzjoni ewlenija</w:t>
      </w:r>
    </w:p>
    <w:p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Nesploraw it-tisħiħ tad-dritt tal-portabbiltà għall-individwi skont l-Artikolu 20 tal-GDPR li jagħtihom aktar kontroll fuq min jista’ jaċċessa u juża 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ġġenerata mill-magni (possibbilment bħala parti mill-Att dwar 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tal-2021).</w:t>
      </w:r>
    </w:p>
    <w:p>
      <w:pPr>
        <w:keepNext/>
        <w:numPr>
          <w:ilvl w:val="0"/>
          <w:numId w:val="3"/>
        </w:numPr>
        <w:spacing w:before="360" w:after="120"/>
        <w:ind w:left="357" w:hanging="35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Spazji komuni Ewropej tad-</w:t>
      </w:r>
      <w:r>
        <w:rPr>
          <w:rFonts w:ascii="Times New Roman" w:hAnsi="Times New Roman"/>
          <w:b/>
          <w:i/>
          <w:iCs/>
          <w:noProof/>
        </w:rPr>
        <w:t>data</w:t>
      </w:r>
      <w:r>
        <w:rPr>
          <w:rFonts w:ascii="Times New Roman" w:hAnsi="Times New Roman"/>
          <w:b/>
          <w:noProof/>
        </w:rPr>
        <w:t xml:space="preserve"> f’setturi strateġiċi u dominji ta’ interess pubbliku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Bi qbil mal-qafas orizzontali, u mal-finanzjament u l-azzjonijiet dwar il-ħiliet u l-għoti tas-setgħat lill-individwi skont A, B u C</w:t>
      </w:r>
      <w:r>
        <w:rPr>
          <w:rStyle w:val="FootnoteReference"/>
          <w:rFonts w:ascii="Times New Roman" w:hAnsi="Times New Roman" w:cs="Times New Roman"/>
          <w:noProof/>
        </w:rPr>
        <w:footnoteReference w:id="55"/>
      </w:r>
      <w:r>
        <w:rPr>
          <w:rFonts w:ascii="Times New Roman" w:hAnsi="Times New Roman"/>
          <w:noProof/>
        </w:rPr>
        <w:t>, il-Kummissjoni se tippromwovi l-iżvilupp ta’ spazji komuni Ewropej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f’setturi ekonomiċi strateġiċi u dominji ta’ interess pubbliku. Dawn is-setturi jew id-dominji huma dawk fejn l-użu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jħalli impatt sistemiku fuq l-ekosistema kollha, iżda anki fuq iċ-ċittadini. 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Dan jenħtieġ iwassal għad-disponibbiltà ta’ ġabriet kbar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f’dawn is-setturi u d-dominji, flimkien mal-għodod u l-infrastrutturi tekniċi meħtieġa għall-użu u l-iskambjar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, kif ukoll mekkaniżmi xierqa tal-governanza. Filwaqt li ma jħaddmux approċċ ta’ universalità, il-kunċetti u l-mudelli komuni tal-governanza jistgħu jiġu replikati fis-setturi differenti.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Il-qafas orizzontali għandu, meta xieraq, jiġi kumplimentat b’leġiżlazzjoni settorjali għall-aċċess u l-użu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, u b’mekkaniżmi li jiżguraw l-interoperabbiltà. Id-differenzi bejn is-setturi jiddependu fuq il-maturità tad-diskussjonijiet dwar id-disponibbiltà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fis-settur u l-problemi identifikati f’dan ir-rigward. Fattur rilevanti ieħor hu l-livell ta’ interess pubbliku u l-involviment f’settur partikolari, li jaf ikun iżjed f’ċerti oqsma bħas-saħħa u inqas f’oqsma bħall-manifattura. Anki l-użu transsettorjali potenzjali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bejn is-setturi jeħtieġ jiġi kkunsidrat. L-ispazji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se jiġu żviluppati bi qbil sħiħ mar-regoli dwar il-protezzjoni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u skont l-aqwa standards taċ-ċibersigurtà disponibbli.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L-ispazji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jeħtieġ jiġu kumplimentati b’politiki li jistimulaw l-użu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u d-domanda għal servizzi arrikkiti bid-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. Il-ħidma fuq l-ispazji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settorjali se tiġi kumplimentata b’miżuri settorjali tul il-katina tal-valur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.</w:t>
      </w:r>
    </w:p>
    <w:p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Wara l-esperjenza kontinwa tal-komunità tar-riċerka mal-Cloud Ewropew tax-Xjenza Miftuħa, il-Kummissjoni se tappoġġa wkoll il-ħolqien tad-disa’ spazji komuni Ewropej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li ġejjin: </w:t>
      </w:r>
    </w:p>
    <w:p>
      <w:pPr>
        <w:pStyle w:val="ListParagraph"/>
        <w:numPr>
          <w:ilvl w:val="0"/>
          <w:numId w:val="20"/>
        </w:numPr>
        <w:spacing w:after="24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Spazju komuni Ewropew tad-</w:t>
      </w:r>
      <w:r>
        <w:rPr>
          <w:rFonts w:ascii="Times New Roman" w:hAnsi="Times New Roman"/>
          <w:b/>
          <w:i/>
          <w:iCs/>
          <w:noProof/>
        </w:rPr>
        <w:t>data</w:t>
      </w:r>
      <w:r>
        <w:rPr>
          <w:rFonts w:ascii="Times New Roman" w:hAnsi="Times New Roman"/>
          <w:b/>
          <w:noProof/>
        </w:rPr>
        <w:t xml:space="preserve"> dwar l-industrija (il-manifattura)</w:t>
      </w:r>
      <w:r>
        <w:rPr>
          <w:rFonts w:ascii="Times New Roman" w:hAnsi="Times New Roman"/>
          <w:noProof/>
        </w:rPr>
        <w:t xml:space="preserve"> li jappoġġa l-kompetittività u l-prestazzjoni tal-industrija tal-UE, u li bih jista’ jinkiseb il-valur potenzjali tal-użu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mhux personali fil-manifattura (stmata għal EUR 1,5 triljun sal-2027). </w:t>
      </w:r>
    </w:p>
    <w:p>
      <w:pPr>
        <w:pStyle w:val="ListParagraph"/>
        <w:numPr>
          <w:ilvl w:val="0"/>
          <w:numId w:val="20"/>
        </w:numPr>
        <w:spacing w:after="24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Spazju komuni Ewropew tad-</w:t>
      </w:r>
      <w:r>
        <w:rPr>
          <w:rFonts w:ascii="Times New Roman" w:hAnsi="Times New Roman"/>
          <w:b/>
          <w:i/>
          <w:iCs/>
          <w:noProof/>
        </w:rPr>
        <w:t>data</w:t>
      </w:r>
      <w:r>
        <w:rPr>
          <w:rFonts w:ascii="Times New Roman" w:hAnsi="Times New Roman"/>
          <w:b/>
          <w:noProof/>
        </w:rPr>
        <w:t xml:space="preserve"> dwar il-Patt Ekoloġiku</w:t>
      </w:r>
      <w:r>
        <w:rPr>
          <w:rFonts w:ascii="Times New Roman" w:hAnsi="Times New Roman"/>
          <w:noProof/>
        </w:rPr>
        <w:t xml:space="preserve"> li jaħtaf il-potenzjal kbir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b’appoġġ għall-azzjonijiet ta’ prijorità tal-Patt Ekoloġiku b’rabta mat-tibdil fil-klima, l-ekonomija ċirkolari, l-ambizzjoni ta’ tniġġis żero, il-bijodiversità, id-deforestazzjoni u l-assigurazzjoni tal-konformità. L-inizjattivi “GreenData4All” u “Destinazzjoni d-Dinja” (tewmi diġitali tad-Dinja) se jkopru azzjonijiet konkreti. </w:t>
      </w:r>
    </w:p>
    <w:p>
      <w:pPr>
        <w:pStyle w:val="ListParagraph"/>
        <w:numPr>
          <w:ilvl w:val="0"/>
          <w:numId w:val="20"/>
        </w:numPr>
        <w:spacing w:after="24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Spazju komuni Ewropew tad-</w:t>
      </w:r>
      <w:r>
        <w:rPr>
          <w:rFonts w:ascii="Times New Roman" w:hAnsi="Times New Roman"/>
          <w:b/>
          <w:i/>
          <w:iCs/>
          <w:noProof/>
        </w:rPr>
        <w:t>data</w:t>
      </w:r>
      <w:r>
        <w:rPr>
          <w:rFonts w:ascii="Times New Roman" w:hAnsi="Times New Roman"/>
          <w:b/>
          <w:noProof/>
        </w:rPr>
        <w:t xml:space="preserve"> dwar il-mobbiltà</w:t>
      </w:r>
      <w:r>
        <w:rPr>
          <w:rFonts w:ascii="Times New Roman" w:hAnsi="Times New Roman"/>
          <w:noProof/>
        </w:rPr>
        <w:t xml:space="preserve"> biex l-Ewropa tkun fuq quddiem fl-iżvilupp ta’ sistema tat-trasport intelliġenti li tinkludi karozzi konnessi u mezzi oħra tat-trasport. Dan l-ispazju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jiffaċilita l-aċċess, l-akkomunament u l-kondiviżjoni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minn bażijiet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eżistenti u futuri dwar it-trasport u l-mobbiltà. </w:t>
      </w:r>
    </w:p>
    <w:p>
      <w:pPr>
        <w:pStyle w:val="ListParagraph"/>
        <w:numPr>
          <w:ilvl w:val="0"/>
          <w:numId w:val="20"/>
        </w:numPr>
        <w:spacing w:after="24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Spazju komuni Ewropew tad-</w:t>
      </w:r>
      <w:r>
        <w:rPr>
          <w:rFonts w:ascii="Times New Roman" w:hAnsi="Times New Roman"/>
          <w:b/>
          <w:i/>
          <w:iCs/>
          <w:noProof/>
        </w:rPr>
        <w:t>data</w:t>
      </w:r>
      <w:r>
        <w:rPr>
          <w:rFonts w:ascii="Times New Roman" w:hAnsi="Times New Roman"/>
          <w:b/>
          <w:noProof/>
        </w:rPr>
        <w:t xml:space="preserve"> dwar is-saħħa</w:t>
      </w:r>
      <w:r>
        <w:rPr>
          <w:rFonts w:ascii="Times New Roman" w:hAnsi="Times New Roman"/>
          <w:noProof/>
        </w:rPr>
        <w:t xml:space="preserve"> li hu essenzjali għal avvanzi fil-prevenzjoni, fl-iskoperta u fil-kura tal-mard kif ukoll għal deċiżjonijiet infurmati u bbażati fuq l-evidenza li jtejbu l-aċċessibbiltà, l-effettività u s-sostenibbiltà tas-sistemi tal-kura tas-saħħa. </w:t>
      </w:r>
    </w:p>
    <w:p>
      <w:pPr>
        <w:pStyle w:val="ListParagraph"/>
        <w:numPr>
          <w:ilvl w:val="0"/>
          <w:numId w:val="20"/>
        </w:numPr>
        <w:spacing w:after="24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Spazju komuni Ewropew tad-</w:t>
      </w:r>
      <w:r>
        <w:rPr>
          <w:rFonts w:ascii="Times New Roman" w:hAnsi="Times New Roman"/>
          <w:b/>
          <w:i/>
          <w:iCs/>
          <w:noProof/>
        </w:rPr>
        <w:t>data</w:t>
      </w:r>
      <w:r>
        <w:rPr>
          <w:rFonts w:ascii="Times New Roman" w:hAnsi="Times New Roman"/>
          <w:b/>
          <w:noProof/>
        </w:rPr>
        <w:t xml:space="preserve"> finanzjarja</w:t>
      </w:r>
      <w:r>
        <w:rPr>
          <w:rFonts w:ascii="Times New Roman" w:hAnsi="Times New Roman"/>
          <w:noProof/>
        </w:rPr>
        <w:t xml:space="preserve"> li b’kondiviżjoni aħjar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jistimula l-innovazzjoni, it-trasparenza tas-suq, il-finanzi sostenibbli, kif ukoll l-aċċess għal fondi għan-negozji Ewropej u suq aktar integrat. </w:t>
      </w:r>
    </w:p>
    <w:p>
      <w:pPr>
        <w:pStyle w:val="ListParagraph"/>
        <w:numPr>
          <w:ilvl w:val="0"/>
          <w:numId w:val="20"/>
        </w:numPr>
        <w:spacing w:after="24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Spazju komuni Ewropew tad-</w:t>
      </w:r>
      <w:r>
        <w:rPr>
          <w:rFonts w:ascii="Times New Roman" w:hAnsi="Times New Roman"/>
          <w:b/>
          <w:i/>
          <w:iCs/>
          <w:noProof/>
        </w:rPr>
        <w:t>data</w:t>
      </w:r>
      <w:r>
        <w:rPr>
          <w:rFonts w:ascii="Times New Roman" w:hAnsi="Times New Roman"/>
          <w:b/>
          <w:noProof/>
        </w:rPr>
        <w:t xml:space="preserve"> dwar l-enerġija</w:t>
      </w:r>
      <w:r>
        <w:rPr>
          <w:rFonts w:ascii="Times New Roman" w:hAnsi="Times New Roman"/>
          <w:noProof/>
        </w:rPr>
        <w:t xml:space="preserve"> li jippromwovi disponibbiltà u kondiviżjoni transsettorjali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aktar b’saħħithom, b’mod iċċentrat fuq il-konsumaturi, sigur u affidabbli, għax b’hekk jiġu ffaċilitati soluzzjonijiet innovattivi u jingħata appoġġ lid-dekarbonizzazzjoni tas-sistema tal-enerġija. </w:t>
      </w:r>
    </w:p>
    <w:p>
      <w:pPr>
        <w:pStyle w:val="ListParagraph"/>
        <w:numPr>
          <w:ilvl w:val="0"/>
          <w:numId w:val="20"/>
        </w:numPr>
        <w:spacing w:after="24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Spazju komuni Ewropew tad-</w:t>
      </w:r>
      <w:r>
        <w:rPr>
          <w:rFonts w:ascii="Times New Roman" w:hAnsi="Times New Roman"/>
          <w:b/>
          <w:i/>
          <w:iCs/>
          <w:noProof/>
        </w:rPr>
        <w:t>data</w:t>
      </w:r>
      <w:r>
        <w:rPr>
          <w:rFonts w:ascii="Times New Roman" w:hAnsi="Times New Roman"/>
          <w:b/>
          <w:noProof/>
        </w:rPr>
        <w:t xml:space="preserve"> dwar l-agrikoltura</w:t>
      </w:r>
      <w:r>
        <w:rPr>
          <w:rFonts w:ascii="Times New Roman" w:hAnsi="Times New Roman"/>
          <w:noProof/>
        </w:rPr>
        <w:t xml:space="preserve"> li jtejjeb il-prestazzjoni mil-lat ta’ sostenibbiltà u kompetittività tas-settur agrikolu bl-ipproċessar u bl-analiżi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tal-produzzjoni u ta’ 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oħra ħalli tkun tista’ ssir applikazzjoni preċiża u mfassla apposta tal-approċċi tal-produzzjoni fil-livell tal-azjendi agrikoli. </w:t>
      </w:r>
    </w:p>
    <w:p>
      <w:pPr>
        <w:pStyle w:val="ListParagraph"/>
        <w:numPr>
          <w:ilvl w:val="0"/>
          <w:numId w:val="20"/>
        </w:numPr>
        <w:spacing w:after="24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Spazji komuni Ewropej tad-</w:t>
      </w:r>
      <w:r>
        <w:rPr>
          <w:rFonts w:ascii="Times New Roman" w:hAnsi="Times New Roman"/>
          <w:b/>
          <w:i/>
          <w:iCs/>
          <w:noProof/>
        </w:rPr>
        <w:t>data</w:t>
      </w:r>
      <w:r>
        <w:rPr>
          <w:rFonts w:ascii="Times New Roman" w:hAnsi="Times New Roman"/>
          <w:b/>
          <w:noProof/>
        </w:rPr>
        <w:t xml:space="preserve"> għall-amministrazzjoni pubblika</w:t>
      </w:r>
      <w:r>
        <w:rPr>
          <w:rFonts w:ascii="Times New Roman" w:hAnsi="Times New Roman"/>
          <w:noProof/>
        </w:rPr>
        <w:t xml:space="preserve"> biex jitjiebu t-trasparenza u l-kontabbiltà tal-infiq pubbliku u l-kwalità tal-infiq, tiġi miġġielda l-korruzzjoni, fil-livell tal-UE u fil-livell nazzjonali, u biex jiġu indirizzati l-ħtiġijiet tal-infurzar tal-liġi u tiġi appoġġata l-applikazzjoni effettiva tal-liġi tal-UE u jinfetħu l-bibien għal applikazzjonijiet innovattivi tat-teknoloġija governattiva, tat-teknoloġija regolatorja u tat-teknoloġija legali li jappoġġaw lill-prattikanti kif ukoll għal servizzi oħra ta’ interess pubbliku.</w:t>
      </w:r>
    </w:p>
    <w:p>
      <w:pPr>
        <w:pStyle w:val="ListParagraph"/>
        <w:numPr>
          <w:ilvl w:val="0"/>
          <w:numId w:val="20"/>
        </w:numPr>
        <w:spacing w:after="24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Spazju komuni Ewropew tad-</w:t>
      </w:r>
      <w:r>
        <w:rPr>
          <w:rFonts w:ascii="Times New Roman" w:hAnsi="Times New Roman"/>
          <w:b/>
          <w:i/>
          <w:iCs/>
          <w:noProof/>
        </w:rPr>
        <w:t>data</w:t>
      </w:r>
      <w:r>
        <w:rPr>
          <w:rFonts w:ascii="Times New Roman" w:hAnsi="Times New Roman"/>
          <w:b/>
          <w:noProof/>
        </w:rPr>
        <w:t xml:space="preserve"> dwar il-ħiliet</w:t>
      </w:r>
      <w:r>
        <w:rPr>
          <w:rFonts w:ascii="Times New Roman" w:hAnsi="Times New Roman"/>
          <w:noProof/>
        </w:rPr>
        <w:t xml:space="preserve"> biex jonqsu l-ispariġġi fil-ħiliet bejn is-sistema tal-edukazzjoni u t-taħriġ fuq naħa u l-ħtiġijiet tas-suq tax-xogħol fuq in-naħa l-oħra. 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L-Anness jagħti aktar dettalji fuq kull wieħed mill-ispazji komuni Ewropej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speċifiċi għas-setturi u speċifiċi għad-dominji, b’kuntest dwar il-politiki u l-leġiżlazzjoni speċifiċi għas-setturi li jirfdu l-ħolqien ta’ dawn l-ispazji fis-setturi u fid-dominji differenti, u jipproponi azzjonijiet speċifiċi għas-setturi li huma tanġibbli, imdaqqsa, iffukati fuq 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, u akkumpanjati bi skeda taż-żmien ċara u realistika. </w:t>
      </w:r>
    </w:p>
    <w:p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Il-Kummissjoni tista’ tqis li b’mod sekwenzjali tniedi spazji komuni Ewropej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addizzjonali f’setturi oħra. </w:t>
      </w:r>
    </w:p>
    <w:p>
      <w:pPr>
        <w:pStyle w:val="ListParagraph"/>
        <w:keepNext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Approċċ internazzjonali miftuħ, iżda proattiv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Il-viżjoni ta’ spazju komuni Ewropew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timplika approċċ miftuħ, iżda assertiv, għall-flussi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internazzjonali, imsejjes fuq il-valuri Ewropej. Fi żmienna, il-kumpaniji Ewropej joperaw f’ambjent konness u mifrux lil hinn mill-fruntieri tal-UE, u għaldaqstant il-flussi internazzjonali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jiswew mitqlu deheb għall-kompetittività tagħhom. Filwaqt li tibni fuq is-saħħa tal-ambjent regolatorju tas-Suq Uniku, l-UE għandha interess kbir li tmexxi u tappoġġa l-kooperazzjoni internazzjonali fir-rigward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, it-tfassil ta’ standards dinjin u l-ħolqien ta’ ambjent ta’ suċċess għall-iżvilupp ekonomiku u teknoloġiku, bi qbil sħiħ mal-liġi tal-UE. </w:t>
      </w:r>
    </w:p>
    <w:p>
      <w:pPr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</w:rPr>
        <w:t>Fl-istess waqt, il-kumpaniji Ewropej li joperaw f’xi pajjiżi terzi qed kulma jmur isibu aktar ostakli u restrizzjonijiet diġitali mhux ġustifikati. L-UE se tibqa’ tindirizza dawn l-ostakli mhux ġustifikati għall-flussi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waqt id-diskussjonijiet bilaterali u fil-fora internazzjonali – inkluż mal-Organizzazzjoni Dinjija tal-Kummerċ – filwaqt li se tippromwovi u tipproteġi r-regoli u l-istandards Ewropej tal-ipproċessar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, bi qbil sħiħ mal-leġiżlazzjoni tal-UE. Il-Kummissjoni se tkun viġilanti b’mod partikolari biex tħares u tasserixxi d-drittijiet, l-obbligi u l-interessi taċ-ċittadini Ewropej u tal-kumpaniji, b’mod partikolari fir-rigward tal-protezzjoni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, is-sigurtà, u prattiki tas-suq ġusti u affidabbli . Il-Kummissjoni hi konvinta li l-kooperazzjoni internazzjonali trid tkun ibbażata fuq approċċ li jippromwovi l-valuri fundamentali tal-UE, fosthom il-protezzjoni tal-privatezza. Għaldaqstant, l-UE trid tiżgura li kull aċċess għad-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personali taċ-ċittadini tal-UE u għal 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Ewropea sensittiva kummerċjalment ikun bi qbil mal-valuri u l-qafas leġiżlattiv tagħha. F’dak il-kuntest, jenħtieġ li bejn il-pajjiżi fdati jiġu promossi trasferimenti u kondiviżjoni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. Fir-rigward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personali, it-trasferimenti internazzjonali jsiru b’deċiżjonijiet ta’ adegwatezza u b’għodod eżistenti oħra tat-trasferiment li jiżguraw li l-protezzjoni timxi mad-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, tkun fejn tkun. Barra minn hekk, u mingħajr preġudizzju għall-qafas tal-UE għall-protezzjoni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personali, jenħtieġ ikun żgurat il-fluss liberu u sikur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mal-pajjiżi terzi, soġġett għal eċċezzjonijiet u restrizzjonijiet għas-sigurtà pubblika, l-ordni pubbliku u objettivi leġittimi oħra tal-politika pubblika tal-Unjoni Ewropea, bi qbil mal-obbligi internazzjonali. B’hekk, l-UE tkun tista’ tħaddem approċċ internazzjonali għad-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li jkun miftuħ iżda assertiv, u msejjes fuq il-valuri u l-interessi strateġiċi tagħha.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Il-Kummissjoni se tibqa’ ttejjeb il-kapaċità tagħha li tanalizza l-interess strateġiku tal-UE fir-rigward tal-faċilitazzjoni ulterjuri tal-flussi internazzjonali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. Għal dan il-għan, il-Kummissjoni se </w:t>
      </w:r>
      <w:r>
        <w:rPr>
          <w:rFonts w:ascii="Times New Roman" w:hAnsi="Times New Roman"/>
          <w:b/>
          <w:noProof/>
        </w:rPr>
        <w:t>toħloq qafas analitiku Ewropew għall-kejl tal-flussi tad-</w:t>
      </w:r>
      <w:r>
        <w:rPr>
          <w:rFonts w:ascii="Times New Roman" w:hAnsi="Times New Roman"/>
          <w:b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(Q4 2021). Dan jenħtieġ ikun qafas dejjiemi li jipprovdi l-għodod biex issir analiżi kontinwa tal-flussi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u l-iżvilupp ekonomiku tas-settur tal-ipproċessar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tal-UE, li jkollu metodoloġija robusta, valwazzjoni ekonomika u mekkaniżmi tal-ġbir tal-flussi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. Dan iservi biex jinftiehmu aħjar ix-xejriet tal-flussi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u ċ-ċentri tal-gravità, kemm fl-UE kif ukoll bejn l-UE u l-bqija tad-dinja, u jista’ jkun il-bażi għal risponsi politiċi xierqa min-naħa tal-Kummissjoni, jekk ikun meħtieġ. Jenħtieġ jgħin ukoll biex jiġu xprunati investimenti adegwati li jxejnu l-lakuni possibbli fl-infrastruttura li jxekklu l-flussi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. Għalhekk fiż-żmien li ġej, il-Kummissjoni se tipprova tibni kooperazzjoni ma’ organizzazzjonijiet finanzjarji u internazzjonali rilevanti dwar il-qafas tal-kejl tal-fluss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(eż. il-BEI, il-BERŻ, l-OECD, l-FMI).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L-UE jenħtieġ tieħu vantaġġ mill-qafas effettiv tagħha tal-politika u regolatorju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biex tattira l-ħżin u l-ipproċessar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minn pajjiżi u reġjuni oħra, u biex iżżid l-innovazzjoni ta’ valur miżjud għoli li joħolqu dawn l-ispazji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. Il-kumpaniji minn madwar id-dinja jkunu mħeġġa jużaw l-ispazju Ewropew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, diment li jkunu konformi mal-istandards applikabbli, fosthom dawk żviluppati b’mod relattiv għall-kondiviżjoni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. Il-programm Faċilità Nikkollegaw l-Ewropa (is-CEF 2) u l-istrumenti esterni l-ġodda, l-Istrument tal-Viċinat, tal-Kooperazzjoni għall-Iżvilupp u tal-Kooperazzjoni Internazzjonali, u l-Istrument għall-Assistenza ta’ Qabel l-Adeżjoni, se jappoġġaw il-konnettività ta’ pajjiżi terzi mal-Ewropa, li min-naħa tagħhom iżidu l-attrattività tal-interskambju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bejn l-UE u l-pajjiżi sħab rilevanti.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B’mod parallel, l-UE se tippromwovi wkoll b’mod attiv l-istandards u l-valuri tagħha ma’ sħabha madwar id-dinja</w:t>
      </w:r>
      <w:r>
        <w:rPr>
          <w:rStyle w:val="FootnoteReference"/>
          <w:rFonts w:ascii="Times New Roman" w:hAnsi="Times New Roman" w:cs="Times New Roman"/>
          <w:noProof/>
        </w:rPr>
        <w:footnoteReference w:id="56"/>
      </w:r>
      <w:r>
        <w:rPr>
          <w:rFonts w:ascii="Times New Roman" w:hAnsi="Times New Roman"/>
          <w:noProof/>
        </w:rPr>
        <w:t>. Se taħdem fil-fora multilaterali biex tiġġieled abbużi bħall-aċċess sproporzjonat tal-gvernijiet għad-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, ngħidu aħna l-aċċess għal 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personali li mhux konformi mar-regoli tal-UE dwar il-protezzjoni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. Biex tippromwovi l-mudell Ewropew madwar id-dinja, l-UE se taħdem ma’ sħab fdati li għandhom l-istess standards u valuri, biex tappoġġa lil oħrajn li jixtiequ jagħtu aktar kontroll liċ-ċittadini tagħhom fuq 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tagħhom, bi qbil mal-valuri Ewropej li dawn iħaddnu. Pereżempju, l-UE se tappoġġa lill-Afrika biex toħloq ekonomija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Afrikana għall-benefiċċju taċ-ċittadini u tan-negozji tagħha.</w:t>
      </w:r>
    </w:p>
    <w:p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L-azzjoni ewlenija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ind w:left="142" w:hanging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Noħolqu qafas biex jitkejlu l-flussi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u jiġi stmat il-valur ekonomiku tagħhom fl-Ewropa, kif ukoll bejn l-Ewropa u l-bqija tad-dinja, Q4 2021.</w:t>
      </w:r>
    </w:p>
    <w:p>
      <w:pPr>
        <w:pStyle w:val="ListParagraph"/>
        <w:keepNext/>
        <w:numPr>
          <w:ilvl w:val="0"/>
          <w:numId w:val="7"/>
        </w:numPr>
        <w:spacing w:before="360" w:after="120"/>
        <w:contextualSpacing w:val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Konklużjoni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Din il-Komunikazzjoni tippreżenta Strateġija Ewropea għad-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bl-ambizzjoni li l-UE ssir l-aktar ekonomija aġli mil-lat ta’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li tkun attraenti, sikura u dinamika fid-dinja – li bid-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tagħti s-setgħa lill-Ewropa biex jittieħdu deċiżjonijiet aħjar u titjieb il-ħajja taċ-ċittadini kollha tagħha. Din issemmi għadd ta’ miżuri ta’ politika u investimenti li huma meħtieġa biex jintlaħaq dan l-għan.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L-isfida hi kbira għax il-futur teknoloġiku tal-UE jiddependi minn jekk din jirnexxilhiex tisfrutta l-vantaġġi tagħha u taħtaf l-opportunitajiet li joffru l-produzzjoni u l-użu dejjem akbar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. Li nistabbilixxu mod Ewropew kif tiġi trattata 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, jiżgura aktar disponibbiltà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biex jiġu indirizzati l-isfidi tas-soċjetà u biex tintuża fl-ekonomija, u dan b’mod li jirrispetta u jippromwovi l-valuri Ewropej komuni tagħna.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Biex tiżgura l-futur diġitali tagħna, l-UE trid taħtaf l-opportunità tagħha fl-ekonomija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  <w:sectPr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920" w:right="1417" w:bottom="1417" w:left="1417" w:header="708" w:footer="708" w:gutter="0"/>
          <w:cols w:space="720"/>
          <w:docGrid w:linePitch="360"/>
        </w:sectPr>
      </w:pPr>
    </w:p>
    <w:p>
      <w:pPr>
        <w:jc w:val="center"/>
        <w:outlineLvl w:val="0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u w:val="single"/>
        </w:rPr>
        <w:t>APPENDIĊI għall-Komunikazzjoni “Strateġija Ewropea għad-</w:t>
      </w:r>
      <w:r>
        <w:rPr>
          <w:rFonts w:ascii="Times New Roman" w:hAnsi="Times New Roman"/>
          <w:b/>
          <w:i/>
          <w:iCs/>
          <w:noProof/>
          <w:u w:val="single"/>
        </w:rPr>
        <w:t>Data</w:t>
      </w:r>
      <w:r>
        <w:rPr>
          <w:rFonts w:ascii="Times New Roman" w:hAnsi="Times New Roman"/>
          <w:b/>
          <w:noProof/>
          <w:u w:val="single"/>
        </w:rPr>
        <w:t>”</w:t>
      </w:r>
    </w:p>
    <w:p>
      <w:pPr>
        <w:spacing w:after="360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u w:val="single"/>
        </w:rPr>
        <w:t>Spazji komuni Ewropej tad-</w:t>
      </w:r>
      <w:r>
        <w:rPr>
          <w:rFonts w:ascii="Times New Roman" w:hAnsi="Times New Roman"/>
          <w:b/>
          <w:i/>
          <w:iCs/>
          <w:noProof/>
          <w:u w:val="single"/>
        </w:rPr>
        <w:t>data</w:t>
      </w:r>
      <w:r>
        <w:rPr>
          <w:rFonts w:ascii="Times New Roman" w:hAnsi="Times New Roman"/>
          <w:b/>
          <w:noProof/>
          <w:u w:val="single"/>
        </w:rPr>
        <w:t xml:space="preserve"> f’setturi strateġiċi u dominji ta’ interess pubbliku</w:t>
      </w:r>
    </w:p>
    <w:p>
      <w:pPr>
        <w:keepNext/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Il-Komunikazzjoni “Strateġija Ewropea għad-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” tħabbar il-ħolqien ta’ spazji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speċifiċi għas-setturi u speċifiċi għad-dominji. </w:t>
      </w:r>
    </w:p>
    <w:p>
      <w:pPr>
        <w:keepNext/>
        <w:spacing w:after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Dan id-dokument jagħti sfond addizzjonali dwar il-politiki u l-leġiżlazzjoni speċifiċi għas-setturi li jirfdu l-ħolqien ta’ dawn l-ispazji fis-setturi u d-dominji differenti. </w:t>
      </w:r>
    </w:p>
    <w:p>
      <w:pPr>
        <w:pStyle w:val="ListParagraph"/>
        <w:keepNext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Spazju komuni Ewropew tad-</w:t>
      </w:r>
      <w:r>
        <w:rPr>
          <w:rFonts w:ascii="Times New Roman" w:hAnsi="Times New Roman"/>
          <w:b/>
          <w:i/>
          <w:iCs/>
          <w:noProof/>
        </w:rPr>
        <w:t>data</w:t>
      </w:r>
      <w:r>
        <w:rPr>
          <w:rFonts w:ascii="Times New Roman" w:hAnsi="Times New Roman"/>
          <w:b/>
          <w:noProof/>
        </w:rPr>
        <w:t xml:space="preserve"> dwar l-industrija</w:t>
      </w:r>
      <w:r>
        <w:rPr>
          <w:rFonts w:ascii="Times New Roman" w:hAnsi="Times New Roman"/>
          <w:noProof/>
        </w:rPr>
        <w:t xml:space="preserve"> (il-manifattura)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L-Ewropa għandha bażi industrijali soda, u l-iġġenerar u l-użu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, b’mod partikolari fil-qasam tal-manifattura, jistgħu jagħmlu differenza sinifikanti fil-prestazzjoni u fil-kompetittività tal-industrija Ewropea. Studju tal-2018 jistma li l-valur potenzjali tal-użu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mhux personali fil-manifattura se jkun EUR 1,5 triljun sal-2027</w:t>
      </w:r>
      <w:r>
        <w:rPr>
          <w:rStyle w:val="FootnoteReference"/>
          <w:rFonts w:ascii="Times New Roman" w:hAnsi="Times New Roman" w:cs="Times New Roman"/>
          <w:noProof/>
        </w:rPr>
        <w:footnoteReference w:id="57"/>
      </w:r>
      <w:r>
        <w:rPr>
          <w:rFonts w:ascii="Times New Roman" w:hAnsi="Times New Roman"/>
          <w:noProof/>
        </w:rPr>
        <w:t>.</w:t>
      </w:r>
    </w:p>
    <w:p>
      <w:pPr>
        <w:keepNext/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Biex tisfrutta dan il-potenzjal, il-Kummissjoni se:</w:t>
      </w:r>
    </w:p>
    <w:p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Tindirizza kwistjonijiet relatati mad-drittijiet tal-użu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industrijali koġenerata (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tal-Internet tal-Oġġetti maħluqa f’kuntesti industrijali), bħala parti minn Att usa’ dwar 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(Q4 2021).</w:t>
      </w:r>
    </w:p>
    <w:p>
      <w:pPr>
        <w:pStyle w:val="ListParagraph"/>
        <w:numPr>
          <w:ilvl w:val="3"/>
          <w:numId w:val="4"/>
        </w:numPr>
        <w:spacing w:after="240"/>
        <w:ind w:left="426" w:hanging="357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Tiġbor atturi ewlenin mis-settur tal-manifattura biex – bi qbil mar-regoli tal-kompetizzjoni u mal-prinċipji ta’ kuntratti ġusti – tiftiehem fuq il-kundizzjonijiet li skonthom ikunu lesti jaqsmu 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tagħhom u kif tista’ jibqa’ jissaħħaħ l-iġġenerar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, b’mod partikolari bi prodotti intelliġenti konnessi (mill-Q2 2020 ’il quddiem). Fejn tidħol 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ġġenerata minn individwi, jenħtieġ li l-interessi tagħhom jitqiesu bis-sħiħ f’dan il-proċess u tkun żgurata l-konformità mar-regoli dwar il-protezzjoni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. </w:t>
      </w:r>
    </w:p>
    <w:p>
      <w:pPr>
        <w:pStyle w:val="ListParagraph"/>
        <w:keepNext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Spazju komuni Ewropew tad-</w:t>
      </w:r>
      <w:r>
        <w:rPr>
          <w:rFonts w:ascii="Times New Roman" w:hAnsi="Times New Roman"/>
          <w:b/>
          <w:i/>
          <w:iCs/>
          <w:noProof/>
        </w:rPr>
        <w:t>data</w:t>
      </w:r>
      <w:r>
        <w:rPr>
          <w:rFonts w:ascii="Times New Roman" w:hAnsi="Times New Roman"/>
          <w:b/>
          <w:noProof/>
        </w:rPr>
        <w:t xml:space="preserve"> dwar il-Patt Ekoloġiku</w:t>
      </w:r>
    </w:p>
    <w:p>
      <w:pPr>
        <w:keepNext/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Il-Patt Ekoloġiku tal-Ewropa stabbilixxa l-mira ambizzjuża li l-Ewropa ssir l-ewwel kontinent newtrali għall-klima fid-dinja sal-2050. Il-Komunikazzjoni tal-Kummissjoni tenfasizza b’mod ċar l-importanza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biex tintlaħaq din il-mira. Spazju komuni Ewropew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dwar il-Patt Ekoloġiku jista’ jaħtaf il-potenzjal kbir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b’appoġġ għall-azzjonijiet ta’ prijorità tal-Patt Ekoloġiku b’rabta mat-tibdil fil-klima, l-ekonomija ċirkolari, l-ambizzjoni ta’ tniġġis żero, il-bijodiversità, id-deforestazzjoni u l-assigurazzjoni tal-konformità. </w:t>
      </w:r>
    </w:p>
    <w:p>
      <w:pPr>
        <w:keepNext/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F’dan il-kuntest, il-Kummissjoni se:</w:t>
      </w:r>
    </w:p>
    <w:p>
      <w:pPr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Tniedi l-inizjattiva “GreenData4All”. Matulha jsiru evalwazzjoni u possibbilment rieżami tad-Direttiva li tistabbilixxi Infrastruttura għall-Informazzjoni Ġeografika fl-UE (INSPIRE), flimkien mad-Direttiva dwar l-Aċċess għall-Informazzjoni Ambjentali (Q4 2021 jew Q1 2022). Se timmodernizza r-reġim skont l-opportunitajiet teknoloġiċi u tal-innovazzjoni, u b’hekk tagħmilha aktar faċli għall-awtoritajiet pubbliċi, in-negozji u ċ-ċittadini tal-UE li jagħmlu l-parti tagħhom fit-tranżizzjoni lejn ekonomija aktar ekoloġika u newtrali għall-karbonju, u fit-tnaqqis tal-piż amministrattiv.</w:t>
      </w:r>
    </w:p>
    <w:p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Tintroduċi servizzi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riużabbli fuq skala kbira biex tgħin fil-ġbir, fil-kondiviżjoni, fl-ipproċessar u fl-analiżi ta’ volumi kbar ta’ 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rilevanti biex tiżgura l-konformità mal-leġiżlazzjoni ambjentali u mar-regoli relatati mal-azzjonijiet ta’ prijorità stabbiliti fil-Patt Ekoloġiku (Q4 2021).</w:t>
      </w:r>
    </w:p>
    <w:p>
      <w:pPr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Toħloq spazju komuni Ewropew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għall-applikazzjonijiet ċirkolari intelliġenti li jagħmel l-aktar 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rilevanti disponibbli biex ikun jista’ jinħoloq valur ċirkolari tul il-ktajjen tal-provvista. Sa mill-bidu se jkun hemm enfasi partikolari fuq is-setturi mmirati tal-Pjan ta’ Azzjoni għal Ekonomija Ċirkolari, fosthom l-ambjent mibni, l-imballaġġ, it-tessuti, l-elettronika, l-ICT u l-plastik. Se jinħolqu “passaporti tal-prodotti” diġitali biex jagħtu informazzjoni dwar l-oriġini, id-durabbiltà, il-kompożizzjoni, il-possibbiltajiet ta’ użu mill-ġdid, tiswija u żarmar ta’ prodott, u t-trattament ta’ tmiem il-ħajja ta’ prodott. L-iżvilupp ta’ struttura u governanza (fl-2020), strateġiji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settorjali (fl-2021), l-adozzjoni ta’ politika dwar il-prodotti sostenibbli b’passaport tal-prodott (fl-2021) u l-immappjar tar-riżorsi u t-traċċar tal-vjeġġi tal-iskart (fl-2021). </w:t>
      </w:r>
    </w:p>
    <w:p>
      <w:pPr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Tibda proġett pilota għal implimentazzjoni bikrija tal-Istrateġija għad-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fil-kuntest tal-ambizzjoni ta’ tniġġis żero, ħalli jinħataf il-potenzjal ta’ dominju ta’ politika rikk bid-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dwar is-sustanzi kimiċi, l-arja, l-ilma u l-ħamrija, is-sustanzi perikolużi fil-prodotti għall-konsumaturi, u l-bqija, u fejn ir-riżultati bikrin ikunu ta’ benefiċċju dirett għall-konsumaturi u għall-pjaneta (Q4 2021).</w:t>
      </w:r>
    </w:p>
    <w:p>
      <w:pPr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Tniedi l-inizjattiva “Destinazzjoni d-Dinja”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426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</w:rPr>
        <w:t>L-inizjattiva “Destinazzjoni d-Dinja” tgħaqqad l-eċċellenza xjentifika u industrijali Ewropea biex tiżviluppa mudell diġitali ta’ preċiżjoni kbira ħafna tad-Dinja. Din l-inizjattiva rivoluzzjonarja toffri pjattaforma ta’ mmudellar diġitali biex tivviżwalizza, timmonitorja u tbassar l-attività naturali u umana fuq il-pjaneta b’appoġġ għall-iżvilupp sostenibbli; biex b’hekk twieżen l-isforzi tal-Ewropa għal ambjent aħjar kif stabbilit fil-Patt Ekoloġiku. It-tewmi diġitali tad-Dinja se jibda jinbena bil-mod il-mod mill-2021.</w:t>
      </w:r>
    </w:p>
    <w:p>
      <w:pPr>
        <w:pStyle w:val="ListParagraph"/>
        <w:keepNext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Spazju komuni Ewropew tad-</w:t>
      </w:r>
      <w:r>
        <w:rPr>
          <w:rFonts w:ascii="Times New Roman" w:hAnsi="Times New Roman"/>
          <w:b/>
          <w:i/>
          <w:iCs/>
          <w:noProof/>
        </w:rPr>
        <w:t>data</w:t>
      </w:r>
      <w:r>
        <w:rPr>
          <w:rFonts w:ascii="Times New Roman" w:hAnsi="Times New Roman"/>
          <w:b/>
          <w:noProof/>
        </w:rPr>
        <w:t xml:space="preserve"> dwar il-mobbiltà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It-trasport u l-mobbiltà jinsabu fuq quddiem nett tad-dibattitu dwar il-kondiviżjoni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, qasam fejn l-UE għandha ħafna assi. Dan jikkonċerna s-settur awtomobilistiku, fejn il-karozzi konnessi u mezzi oħra tat-trasport jiddependu b’mod kritiku fuq 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. Id-diġitalizzazzjoni u 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fil-modi kollha tat-trasport u fil-loġistika se jkunu komponent essenzjali ta’ ħidma ulterjuri dwar is-“Sistema Ewropea tat-Trasport” u b’mod partikolari fl-</w:t>
      </w:r>
      <w:r>
        <w:rPr>
          <w:rFonts w:ascii="Times New Roman" w:hAnsi="Times New Roman"/>
          <w:b/>
          <w:noProof/>
        </w:rPr>
        <w:t>Istrateġija għal Trasport Intelliġenti u Sostenibbli</w:t>
      </w:r>
      <w:r>
        <w:rPr>
          <w:rFonts w:ascii="Times New Roman" w:hAnsi="Times New Roman"/>
          <w:noProof/>
        </w:rPr>
        <w:t>” li jmiss (Q4 2020). Din se tkun tinkludi azzjonijiet fis-setturi kollha tat-trasport kif ukoll għal-loġistika tal-kondiviżjoni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transmodali u għall-ekosistemi tal-passiġġieri. </w:t>
      </w:r>
    </w:p>
    <w:p>
      <w:pPr>
        <w:keepNext/>
        <w:spacing w:after="120"/>
        <w:jc w:val="both"/>
        <w:outlineLvl w:val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</w:rPr>
        <w:t>Is-settur awtomobilistiku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Illum, il-vetturi moderni jiġġeneraw madwar 25 gigabyte ta’ 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kull siegħa, u l-karozzi awtonomi se jiġġeneraw terabytes ta’ 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li jistgħu jintużaw għal servizzi innovattivi relatati mal-mobbiltà u għas-servizzi tat-tiswija u l-manutenzjoni. L-innovazzjoni f’dan il-qasam teħtieġ li l-kondiviżjoni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awtomobilistika tkun sigura u mfassla tajjeb, bi qbil mar-regoli tal-kompetizzjoni fost ħafna atturi ekonomiċi differenti. Mill-2007 ’l hawn, l-aċċess għad-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ta’ ġol-vettura tirregolah il-leġiżlazzjoni tal-UE dwar l-approvazzjoni tal-vetturi</w:t>
      </w:r>
      <w:r>
        <w:rPr>
          <w:rStyle w:val="FootnoteReference"/>
          <w:rFonts w:ascii="Times New Roman" w:hAnsi="Times New Roman" w:cs="Times New Roman"/>
          <w:noProof/>
        </w:rPr>
        <w:footnoteReference w:id="58"/>
      </w:r>
      <w:r>
        <w:rPr>
          <w:rFonts w:ascii="Times New Roman" w:hAnsi="Times New Roman"/>
          <w:noProof/>
        </w:rPr>
        <w:t xml:space="preserve"> biex ikun żgurat aċċess ġust għal ċerta 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tal-karozzi minn sewwejja indipendenti. Din il-leġiżlazzjoni issa qed tiġi aġġornata biex titqies iż-żieda fl-użu tal-konnettività (it-3G-4G, l-hekk imsejħa dijanjostika remota)</w:t>
      </w:r>
      <w:r>
        <w:rPr>
          <w:rStyle w:val="FootnoteReference"/>
          <w:rFonts w:ascii="Times New Roman" w:hAnsi="Times New Roman" w:cs="Times New Roman"/>
          <w:noProof/>
        </w:rPr>
        <w:footnoteReference w:id="59"/>
      </w:r>
      <w:r>
        <w:rPr>
          <w:rFonts w:ascii="Times New Roman" w:hAnsi="Times New Roman"/>
          <w:noProof/>
        </w:rPr>
        <w:t>, ikunu rispettati d-drittijiet u l-interessi tas-sidien tal-karozzi li jiġġeneraw 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, u tkun żgurata l-konformità mar-regoli dwar il-protezzjoni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.</w:t>
      </w:r>
    </w:p>
    <w:p>
      <w:pPr>
        <w:keepNext/>
        <w:spacing w:after="120"/>
        <w:jc w:val="both"/>
        <w:outlineLvl w:val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</w:rPr>
        <w:t>Is-sistema sħiħa tat-trasport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Bejn l-2015 u l-2050, l-attività tat-trasport tal-passiġġieri mistennija tiżdied b’35 %. It-traffiku tal-merkanzija bil-modi interni mistenni jiżdied bi 53 % sal-2050</w:t>
      </w:r>
      <w:r>
        <w:rPr>
          <w:rFonts w:ascii="Times New Roman" w:hAnsi="Times New Roman" w:cs="Times New Roman"/>
          <w:noProof/>
          <w:vertAlign w:val="superscript"/>
        </w:rPr>
        <w:footnoteReference w:id="60"/>
      </w:r>
      <w:r>
        <w:rPr>
          <w:rFonts w:ascii="Times New Roman" w:hAnsi="Times New Roman"/>
          <w:noProof/>
        </w:rPr>
        <w:t>, jiġifieri b’ritmu aktar mgħaġġel mit-trasport tal-passiġġieri. Id-diġitalizzazzjoni u 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jaqdu rwol dejjem akbar fl-appoġġ lis-sostenibbiltà tat-trasport. Hemm diversi oqfsa leġiżlattivi li diġà jinkludu obbligi tal-kondiviżjoni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, li jistabbilixxu lista ta’ settijiet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(inkluż settijiet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dwar it-trasport pubbliku). Minbarra dan, il-Forum dwar it-Trasport u l-Loġistika Diġitali qed jaħdem fuq kunċett ta’ “pjattaformi federati” biex jiddefinixxi x’jeħtieġ isir fil-livell tal-UE biex jeħfiefu l-kondiviżjoni u l-użu tal-ġdid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billi jiġu konnessi pjattaformi pubbliċi u privati differenti. Barra minn hekk, l-Istati Membri li għandhom 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, iħaddmu netwerks ta’ punti tal-aċċess nazzjonali li jagħmlu din 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disponibbli, biex is-servizzi tal-informazzjoni dwar is-sikurezza fit-toroq, it-traffiku u l-ivvjaġġar multimodali jkollhom 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ġġenerata mis-settur pubbliku u privat. Id-disponibbiltà u l-użu wiesgħa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fis-sistemi tat-trasport pubbliku għandhom il-potenzjal li jagħmlu dawn is-sistemi aktar effiċjenti, ekoloġiċi u faċli biex jintużaw. L-użu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biex jitjiebu s-sistemi tat-trasport hu karatteristika ewlenija wkoll tal-bliet intelliġenti. 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Il-Kummissjoni se:</w:t>
      </w:r>
    </w:p>
    <w:p>
      <w:pPr>
        <w:numPr>
          <w:ilvl w:val="0"/>
          <w:numId w:val="14"/>
        </w:numPr>
        <w:spacing w:after="120"/>
        <w:ind w:left="425" w:hanging="35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Tagħmel rieżami tal-leġiżlazzjoni attwali tal-UE dwar l-approvazzjoni tat-tip għall-vetturi bil-mutur (li bħalissa hi ffukata fuq il-kondiviżjoni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mingħajr fili għat-tiswija u l-manutenzjoni), biex din tinfetaħ għal aktar servizzi bbażati fuq 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awtomobilistika (Q1 2021). Fost l-oħrajn, ir-rieżami jistħarreġ kif 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ssir aċċessibbli min-naħa tal-manifattur tal-karozza, liema proċeduri huma meħtieġa għal konformità sħiħa mar-regoli dwar il-protezzjoni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, u r-rwol u d-drittijiet ta’ sid il-karozza. </w:t>
      </w:r>
    </w:p>
    <w:p>
      <w:pPr>
        <w:numPr>
          <w:ilvl w:val="0"/>
          <w:numId w:val="14"/>
        </w:numPr>
        <w:spacing w:after="120"/>
        <w:ind w:left="425" w:hanging="35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Twettaq rieżami tad-Direttiva dwar is-servizzi armonizzati tal-informazzjoni tax-xmajjar</w:t>
      </w:r>
      <w:r>
        <w:rPr>
          <w:rStyle w:val="FootnoteReference"/>
          <w:rFonts w:ascii="Times New Roman" w:hAnsi="Times New Roman" w:cs="Times New Roman"/>
          <w:noProof/>
        </w:rPr>
        <w:footnoteReference w:id="61"/>
      </w:r>
      <w:r>
        <w:rPr>
          <w:rFonts w:ascii="Times New Roman" w:hAnsi="Times New Roman"/>
          <w:noProof/>
        </w:rPr>
        <w:t xml:space="preserve"> u tad-Direttiva dwar is-Sistemi tat-Trasport Intelliġenti</w:t>
      </w:r>
      <w:r>
        <w:rPr>
          <w:rStyle w:val="FootnoteReference"/>
          <w:rFonts w:ascii="Times New Roman" w:hAnsi="Times New Roman" w:cs="Times New Roman"/>
          <w:noProof/>
        </w:rPr>
        <w:footnoteReference w:id="62"/>
      </w:r>
      <w:r>
        <w:rPr>
          <w:rFonts w:ascii="Times New Roman" w:hAnsi="Times New Roman"/>
          <w:noProof/>
        </w:rPr>
        <w:t>, inkluż tar-Regolamenti Delegati tagħha biex tkompli tikkontribwixxi għad-disponibbiltà, l-użu mill-ġdid u l-interoperabbiltà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(ilkoll fl-2021) u tistabbilixxi mekkaniżmu ta’ koordinazzjoni aktar sod għal federazzjoni tal-Punti tal-Aċċess Nazzjonali stabbiliti skont id-Direttiva dwar is-Sistemi tat-Trasport Intelliġenti (ITS) permezz ta’ Azzjoni ta’ Appoġġ ta’ Programm CEF għall-UE kollha (fl-2020).</w:t>
      </w:r>
    </w:p>
    <w:p>
      <w:pPr>
        <w:pStyle w:val="ListParagraph"/>
        <w:numPr>
          <w:ilvl w:val="0"/>
          <w:numId w:val="14"/>
        </w:numPr>
        <w:spacing w:after="120"/>
        <w:ind w:left="425" w:hanging="357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Temenda l-proposta għal Regolament dwar l-Ajru Uniku Ewropew</w:t>
      </w:r>
      <w:r>
        <w:rPr>
          <w:rStyle w:val="FootnoteReference"/>
          <w:rFonts w:ascii="Times New Roman" w:hAnsi="Times New Roman" w:cs="Times New Roman"/>
          <w:noProof/>
        </w:rPr>
        <w:footnoteReference w:id="63"/>
      </w:r>
      <w:r>
        <w:rPr>
          <w:rFonts w:ascii="Times New Roman" w:hAnsi="Times New Roman"/>
          <w:noProof/>
        </w:rPr>
        <w:t xml:space="preserve"> biex tinkludi dispożizzjonijiet ġodda dwar id-disponibbiltà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u l-aċċess għas-suq tal-fornituri tas-servizzi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biex jiġu promossi d-diġitalizzazzjoni u l-awtomatizzazzjoni tal-ġestjoni tat-traffiku tal-ajru (fl-2020). Dan itejjeb is-sikurezza, l-effiċjenza u l-kapaċità fit-traffiku tal-ajru.</w:t>
      </w:r>
    </w:p>
    <w:p>
      <w:pPr>
        <w:numPr>
          <w:ilvl w:val="0"/>
          <w:numId w:val="14"/>
        </w:numPr>
        <w:spacing w:after="120"/>
        <w:ind w:left="425" w:hanging="35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Tirrevedi l-qafas regolatorju għall-kondiviżjoni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interoperabbli fit-trasport ferrovjarju fl-2022. </w:t>
      </w:r>
    </w:p>
    <w:p>
      <w:pPr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Tistabbilixxi settijiet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komuni kif previst fir-Regolament dwar is-Single Window Marittima</w:t>
      </w:r>
      <w:r>
        <w:rPr>
          <w:rStyle w:val="FootnoteReference"/>
          <w:rFonts w:ascii="Times New Roman" w:hAnsi="Times New Roman" w:cs="Times New Roman"/>
          <w:noProof/>
        </w:rPr>
        <w:footnoteReference w:id="64"/>
      </w:r>
      <w:r>
        <w:rPr>
          <w:rFonts w:ascii="Times New Roman" w:hAnsi="Times New Roman"/>
          <w:noProof/>
        </w:rPr>
        <w:t xml:space="preserve"> u, abbażi tal-adozzjoni finali tiegħu, fir-Regolament dwar ir-regolamentazzjoni tal-informazzjoni elettronika dwar it-trasport tal-merkanzija</w:t>
      </w:r>
      <w:r>
        <w:rPr>
          <w:rStyle w:val="FootnoteReference"/>
          <w:rFonts w:ascii="Times New Roman" w:hAnsi="Times New Roman" w:cs="Times New Roman"/>
          <w:noProof/>
        </w:rPr>
        <w:footnoteReference w:id="65"/>
      </w:r>
      <w:r>
        <w:rPr>
          <w:rFonts w:ascii="Times New Roman" w:hAnsi="Times New Roman"/>
          <w:noProof/>
        </w:rPr>
        <w:t xml:space="preserve"> (l-ewwel att bħal dan irid jiġi adottat sal-Q3 2021 u sal-Q4 2022 rispettivament) biex tiffaċilita l-iskambju diġitali u l-użu mill-ġdid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bejn in-negozji u l-amministrazzjoni.</w:t>
      </w:r>
    </w:p>
    <w:p>
      <w:pPr>
        <w:pStyle w:val="ListParagraph"/>
        <w:keepNext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Spazju komuni Ewropew tad-</w:t>
      </w:r>
      <w:r>
        <w:rPr>
          <w:rFonts w:ascii="Times New Roman" w:hAnsi="Times New Roman"/>
          <w:b/>
          <w:i/>
          <w:iCs/>
          <w:noProof/>
        </w:rPr>
        <w:t>data</w:t>
      </w:r>
      <w:r>
        <w:rPr>
          <w:rFonts w:ascii="Times New Roman" w:hAnsi="Times New Roman"/>
          <w:b/>
          <w:noProof/>
        </w:rPr>
        <w:t xml:space="preserve"> dwar is-saħħa 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Il-mudelli regolatorji u tar-riċerka attwali jiddependu fuq l-aċċess għal 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dwar is-saħħa, inkluż fuq 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individwali min-naħa tal-pazjenti. It-tisħiħ u l-estensjoni tal-użu u tal-użu mill-ġdid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dwar is-saħħa huma kruċjali għall-innovazzjoni fis-settur tal-kura tas-saħħa. Tgħin ukoll lill-awtoritajiet tal-kura tas-saħħa biex jieħdu deċiżjonijiet ibbażati fuq l-evidenza ħalli jtejbu l-aċċessibbiltà, l-effettività u s-sostenibbiltà tas-sistemi tal-kura tas-saħħa. Tikkontribwixxi wkoll għall-kompetittività tal-industrija tal-UE. Aċċess aħjar għad-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dwar is-saħħa jista’ jappoġġa ferm il-ħidma tal-korpi regolatorji fis-sistema tal-kura tas-saħħa, il-valutazzjoni tal-prodotti mediċinali u t-turija tas-sikurezza u l-effikaċja tagħhom.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Iċ-ċittadini għandhom id-dritt b’mod partikolari li jaċċessaw u jikkontrollaw 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personali tagħhom dwar is-saħħa u jitolbu l-portabbiltà tagħha, iżda l-implimentazzjoni ta’ dan id-dritt hi frammentata. Il-ħidma biex ikun żgurat li kull ċittadin ikollu aċċess sigur għar-Rekord tas-Saħħa Elettronika (EHR) tiegħu u biex tkun żgurata l-portabbiltà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tiegħu – fil-fruntieri u lil hinn minnhom – se ttejjeb l-aċċess u l-kwalità tal-kura, il-kosteffettività tal-provvista tal-kura u tgħin biex jiġu modernizzati s-sistemi tas-saħħa.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Anki ċ-ċittadini jeħtieġ ikunu rassigurati li, ladarba jkunu taw il-kunsens biex 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tagħhom tiġi kondiviża, is-sistemi tal-kura tas-saħħa jużaw din 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b’mod etiku u jiżguraw li l-kunsens mogħti jista’ jiġi rtirat fi kwalunkwe ħin.</w:t>
      </w:r>
    </w:p>
    <w:p>
      <w:pPr>
        <w:keepNext/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Is-saħħa hi qasam fejn l-UE tista’ tibbenefika mir-rivoluzzjoni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, iżżid il-kwalità tal-kura tas-saħħa, u tnaqqas l-ispejjeż. Ħafna drabi l-progress ikun jiddependi mir-rieda tal-Istati Membri u tal-fornituri tal-kura tas-saħħa li jingħaqdu u jsibu modi kif jużaw u jikkombinaw 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, bi qbil mal-GDPR, li skontu 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dwar is-saħħa jixirqilha protezzjoni speċifika. Filwaqt li l-GDPR ħoloq kundizzjonijiet ekwi għall-użu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personali dwar is-saħħa, għadha tippersisti l-frammentazzjoni fi ħdan l-Istati Membri u bejniethom, u l-mudelli tal-governanza dwar l-aċċess għad-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huma diversi. L-ambjent tas-servizzi tas-saħħa diġitali għadu frammentat, l-aktar meta jingħataw b’mod transfruntier.</w:t>
      </w:r>
    </w:p>
    <w:p>
      <w:pPr>
        <w:keepNext/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Il-Kummissjoni se: </w:t>
      </w:r>
    </w:p>
    <w:p>
      <w:pPr>
        <w:pStyle w:val="ListParagraph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Tiżviluppa miżuri leġiżlattivi jew mhux leġiżlattivi speċifiċi għas-setturi b’rabta mal-ispazju Ewropew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dwar is-saħħa, li jikkumplimentaw il-qafas orizzontali tal-ispazju komuni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. Tieħu miżuri biex </w:t>
      </w:r>
      <w:r>
        <w:rPr>
          <w:rStyle w:val="bumpedfont15"/>
          <w:rFonts w:ascii="Times New Roman" w:hAnsi="Times New Roman"/>
          <w:noProof/>
        </w:rPr>
        <w:t>jissaħħu l-aċċess taċ-ċittadini għad-</w:t>
      </w:r>
      <w:r>
        <w:rPr>
          <w:rStyle w:val="bumpedfont15"/>
          <w:rFonts w:ascii="Times New Roman" w:hAnsi="Times New Roman"/>
          <w:i/>
          <w:iCs/>
          <w:noProof/>
        </w:rPr>
        <w:t>data</w:t>
      </w:r>
      <w:r>
        <w:rPr>
          <w:rStyle w:val="bumpedfont15"/>
          <w:rFonts w:ascii="Times New Roman" w:hAnsi="Times New Roman"/>
          <w:noProof/>
        </w:rPr>
        <w:t xml:space="preserve"> tas-saħħa u l-portabbiltà ta’ din id-</w:t>
      </w:r>
      <w:r>
        <w:rPr>
          <w:rStyle w:val="bumpedfont15"/>
          <w:rFonts w:ascii="Times New Roman" w:hAnsi="Times New Roman"/>
          <w:i/>
          <w:iCs/>
          <w:noProof/>
        </w:rPr>
        <w:t>data</w:t>
      </w:r>
      <w:r>
        <w:rPr>
          <w:rStyle w:val="bumpedfont15"/>
          <w:rFonts w:ascii="Times New Roman" w:hAnsi="Times New Roman"/>
          <w:noProof/>
        </w:rPr>
        <w:t>, u tindirizza l-ostakli għall-forniment transfruntier tas-servizzi u l-prodotti diġitali tas-saħħa</w:t>
      </w:r>
      <w:r>
        <w:rPr>
          <w:rFonts w:ascii="Times New Roman" w:hAnsi="Times New Roman"/>
          <w:noProof/>
        </w:rPr>
        <w:t>. Tiffaċilita l-istabbiliment ta’ Kodiċi tal-Kondotta, skont l-Artikolu 40 tal-GDPR, għall-ipproċessar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personali fis-settur tas-saħħa. Dawn l-azzjonijiet se jibnu fuq immappjar kontinwu tal-użu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dwar is-saħħa personali fl-Istati Membri u r-riżultati tal-Azzjoni Konġunta fil-kuntest tal-programm tas-Saħħa (2020-2023)</w:t>
      </w:r>
      <w:r>
        <w:rPr>
          <w:rStyle w:val="FootnoteReference"/>
          <w:rFonts w:ascii="Times New Roman" w:hAnsi="Times New Roman" w:cs="Times New Roman"/>
          <w:noProof/>
        </w:rPr>
        <w:footnoteReference w:id="66"/>
      </w:r>
      <w:r>
        <w:rPr>
          <w:rFonts w:ascii="Times New Roman" w:hAnsi="Times New Roman"/>
          <w:noProof/>
        </w:rPr>
        <w:t>.</w:t>
      </w:r>
    </w:p>
    <w:p>
      <w:pPr>
        <w:pStyle w:val="ListParagraph"/>
        <w:numPr>
          <w:ilvl w:val="0"/>
          <w:numId w:val="15"/>
        </w:numPr>
        <w:spacing w:after="240"/>
        <w:contextualSpacing w:val="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</w:rPr>
        <w:t>Tuża l-infrastrutturi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, l-għodod u l-kapaċitajiet tal-computing għall-ispazju Ewropew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dwar is-saħħa, b’mod aktar speċifiku tappoġġa l-iżvilupp ta’ rekords elettroniċi tas-saħħa nazzjonali (EHRs ) u l-interoperabbiltà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dwar is-saħħa bl-applikazzjoni tal-format tal-iskambju tar-Rekords Elettroniċi tas-Saħħa Ewropej. Iżżid l-iskambju transfruntier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dwar is-saħħa; tagħmel konnessjonijiet u użu, b’repożitorji federati siguri, ta’ tipi speċifiċi ta’ informazzjoni dwar is-saħħa, bħall-EHRs, informazzjoni ġenomika (għal mill-inqas 10 miljun persuna sal-2025), u immaġnijiet diġitali tas-saħħa, f’konformità mal-GDPR. Tippermetti l-iskambju ta’ sommarji elettroniċi dwar il-pazjenti u preskrizzjonijiet elettroniċi bejn it-22 Stat Membru li qed jieħdu sehem fl-Infrastruttura Ewropea tas-Servizzi Diġitali tas-Saħħa Elettronika (l-eHDSI) sal-2022; permezz tal-eHDSI, tibda skambji elettroniċi transfruntieri tal-immaġnijiet mediċi, tar-riżultati tal-laboratorju u tar-rapporti tal-ħruġ, u ttejjeb il-mudell tal-konsultazzjoni virtwali u r-reġistri tan-Netwerks Ewropej ta’ Referenza; tappoġġa l-proġetti kbar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li jippromwovi n-netwerk tar-regolaturi. Dawn l-azzjonijiet se jappoġġaw il-prevenzjoni, id-dijanjożi u t-trattament (b’mod partikolari għall-kanċer, il-mard rari u l-mard komuni u kumpless), ir-riċerka u l-innovazzjoni, it-tfassil tal-politika u l-attivitajiet regolatorji tal-Istati Membri fil-qasam tas-saħħa pubblika.</w:t>
      </w:r>
    </w:p>
    <w:p>
      <w:pPr>
        <w:pStyle w:val="ListParagraph"/>
        <w:keepNext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Spazju komuni Ewropew tad-</w:t>
      </w:r>
      <w:r>
        <w:rPr>
          <w:rFonts w:ascii="Times New Roman" w:hAnsi="Times New Roman"/>
          <w:b/>
          <w:i/>
          <w:iCs/>
          <w:noProof/>
        </w:rPr>
        <w:t>data</w:t>
      </w:r>
      <w:r>
        <w:rPr>
          <w:rFonts w:ascii="Times New Roman" w:hAnsi="Times New Roman"/>
          <w:b/>
          <w:noProof/>
        </w:rPr>
        <w:t xml:space="preserve"> finanzjarja</w:t>
      </w:r>
    </w:p>
    <w:p>
      <w:pPr>
        <w:spacing w:after="1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</w:rPr>
        <w:t>Fis-settur finanzjarju, il-leġiżlazzjoni tal-UE teżiġi li l-istituzzjonijiet finanzjarji jiżvelaw ammont sinifikanti ta’ prodotti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, tranżazzjonijiet u riżultati finanzjarji. Barra minn hekk, id-Direttiva riveduta dwar is-Servizzi tal-Pagament hi pass importanti għal servizzi bankarji miftuħa, biex il-konsumaturi u n-negozji jiġu offruti servizzi innovattivi tal-pagament ibbażati fuq l-aċċess għad-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tal-kontijiet bankarji tagħhom. Il-ħidma li ttejjeb il-kondiviżjoni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tikkontribwixxi biex tiġi stimulata l-innovazzjoni u biex jintlaħqu objettivi ta’ politika importanti oħra fil-livell tal-UE. </w:t>
      </w:r>
    </w:p>
    <w:p>
      <w:pPr>
        <w:spacing w:after="1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>
      <w:pPr>
        <w:keepNext/>
        <w:spacing w:after="1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</w:rPr>
        <w:t>Il-Kummissjoni se tistabbilixxi inizjattivi konkreti dwar dan fl-Istrateġija tagħha li jmiss dwar il-Finanzi Diġitali tul il-Q3 2020, skont il-kunsiderazzjonijiet li ġejjin:</w:t>
      </w:r>
    </w:p>
    <w:p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Il-Kummissjoni se tkompli tiffaċilita l-aċċess għall-iżvelar pubbliku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finanzjarja jew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tar-rapportar superviżorju, li bħalissa hu awtorizzat bil-liġi, pereżempju billi tippromwovi l-użu ta’ standards tekniċi prokompetittivi komuni. Dan jgħin għal ipproċessar aktar effiċjenti ta’ din 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aċċessibbli għall-pubbliku, għall-benefiċċju ta’ bosta politiki oħra ta’ interess pubbliku, fosthom it-titjib tal-aċċess għall-finanzi għan-negozji Ewropej bi swieq tal-kapital aktar integrati, it-tisħiħ tat-trasparenza tas-suq u l-appoġġ għal finanzi sostenibbli fl-UE.</w:t>
      </w:r>
    </w:p>
    <w:p>
      <w:pPr>
        <w:pStyle w:val="ListParagraph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Skont l-aħħar żviluppi tas-suq b’rabta mal-finanzi miftuħa, il-Kummissjoni se tibqa’ tiżgura l-implimentazzjoni sħiħa tad-Direttiva riveduta dwar is-Servizzi tal-Pagament u se tesplora passi u inizjattivi oħra li jibnu fuq dan l-approċċ.</w:t>
      </w:r>
    </w:p>
    <w:p>
      <w:pPr>
        <w:pStyle w:val="ListParagraph"/>
        <w:keepNext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Spazju komuni Ewropew tad-</w:t>
      </w:r>
      <w:r>
        <w:rPr>
          <w:rFonts w:ascii="Times New Roman" w:hAnsi="Times New Roman"/>
          <w:b/>
          <w:i/>
          <w:iCs/>
          <w:noProof/>
        </w:rPr>
        <w:t>data</w:t>
      </w:r>
      <w:r>
        <w:rPr>
          <w:rFonts w:ascii="Times New Roman" w:hAnsi="Times New Roman"/>
          <w:b/>
          <w:noProof/>
        </w:rPr>
        <w:t xml:space="preserve"> dwar l-enerġija 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Fis-settur tal-enerġija, hemm diversi Direttivi li jistabbilixxu l-aċċess u l-portabbiltà lill-klijenti għad-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tal-miters u tal-konsum tal-enerġija tagħhom, b’mod trasparenti u mhux diskriminatorju u f’konformità mal-liġi dwar il-protezzjoni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. L-oqfsa ta’ governanza speċifiċi jridu jiġu definiti fil-livell nazzjonali. Il-leġiżlazzjoni introduċiet ukoll obbligi tal-kondiviżjoni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għall-operaturi tan-netwerks tal-elettriku. Fir-rigward taċ-ċibersigurtà, għaddejja ħidma biex jingħelbu l-isfidi speċifiċi għall-enerġija, b’mod partikolari: ir-rekwiżiti tal-ħin reali, l-effetti kaskata u t-taħlita ta’ teknoloġiji preeżistenti ma’ teknoloġiji intelliġenti/avvanzati.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Id-disponibbiltà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u l-kondiviżjoni transsettorjali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, b’mod sigur u affidabbli, jistgħu jiffaċilitaw soluzzjonijiet innovattivi u jappoġġaw id-dekarbonizzazzjoni tas-sistema tal-enerġija. Il-Kummissjoni se tindirizza dawn il-kwistjonijiet bħala parti mill-istrateġija ta’ integrazzjoni tas-settur intelliġenti li trid tiġi adottata fit-tieni kwart ta’ din is-sena kif ħabbret il-Komunikazzjoni dwar il-Patt Ekoloġiku Ewropew.</w:t>
      </w:r>
    </w:p>
    <w:p>
      <w:pPr>
        <w:keepNext/>
        <w:spacing w:after="120"/>
        <w:jc w:val="both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/>
          <w:noProof/>
        </w:rPr>
        <w:t>Il-Kummissjoni se:</w:t>
      </w:r>
    </w:p>
    <w:p>
      <w:pPr>
        <w:pStyle w:val="ListParagraph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Tadotta att(i) ta’ implimentazzjoni</w:t>
      </w:r>
      <w:r>
        <w:rPr>
          <w:rStyle w:val="FootnoteReference"/>
          <w:rFonts w:ascii="Times New Roman" w:hAnsi="Times New Roman" w:cs="Times New Roman"/>
          <w:noProof/>
        </w:rPr>
        <w:footnoteReference w:id="67"/>
      </w:r>
      <w:r>
        <w:rPr>
          <w:rFonts w:ascii="Times New Roman" w:hAnsi="Times New Roman"/>
          <w:noProof/>
        </w:rPr>
        <w:t xml:space="preserve"> li jistabbilixxu r-rekwiżiti tal-interoperabbiltà u proċeduri mhux diskriminatorji u trasparenti għall-aċċess għad-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, li jibnu fuq prattiki nazzjonali eżistenti abbażi tad-Direttiva dwar l-Elettriku 2019/944 (fl-2021/2022). </w:t>
      </w:r>
    </w:p>
    <w:p>
      <w:pPr>
        <w:pStyle w:val="ListParagraph"/>
        <w:numPr>
          <w:ilvl w:val="0"/>
          <w:numId w:val="18"/>
        </w:numPr>
        <w:spacing w:after="240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Tqis azzjonijiet li jtejbu l-interoperabbiltà f’binjiet u prodotti intelliġenti, biex titjieb l-effiċjenza enerġetika tagħhom, jottimizzaw il-konsum lokali u jwessgħu l-integrazzjoni ta’ sorsi tal-enerġija rinnovabbli (Q4 2020). </w:t>
      </w:r>
    </w:p>
    <w:p>
      <w:pPr>
        <w:pStyle w:val="ListParagraph"/>
        <w:keepNext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Spazju komuni Ewropew tad-</w:t>
      </w:r>
      <w:r>
        <w:rPr>
          <w:rFonts w:ascii="Times New Roman" w:hAnsi="Times New Roman"/>
          <w:b/>
          <w:i/>
          <w:iCs/>
          <w:noProof/>
        </w:rPr>
        <w:t>data</w:t>
      </w:r>
      <w:r>
        <w:rPr>
          <w:rFonts w:ascii="Times New Roman" w:hAnsi="Times New Roman"/>
          <w:b/>
          <w:noProof/>
        </w:rPr>
        <w:t xml:space="preserve"> dwar l-agrikoltura 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hi element ewlieni biex tissaħħaħ il-prestazzjoni mil-lat ta’ sostenibbiltà u kompetittività tas-settur agrikolu. L-ipproċessar u l-analiżi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dwar il-produzzjoni, speċjalment b’mod ikkombinat ma’ 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oħra dwar il-katina tal-provvista u tipi oħra ta’ 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, bħad-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tal-osservazzjoni tad-dinja jew meteoroloġika, jippermettu applikazzjoni preċiża u mfassla apposta tal-approċċi tal-produzzjoni fil-livell tal-azjendi agrikoli. Fl-2018 sar ftehim kuntrattwali u ġie żviluppat kodiċi tal-kondotta għall-kondiviżjoni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agrikola mill-partijiet konċernati tal-UE, li fost l-oħrajn jinvolvi lis-settur tal-biedja u lis-settur tal-makkinarju. 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Jekk l-ispazju komuni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dwar l-agrikoltura jkun ibbażat fuq l-approċċi eżistenti għall-kondiviżjoni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, dan jista’ jipprovdi pjattaforma newtrali għall-kondiviżjoni u l-akkomunament tad-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agrikola, li tkun tinkludi </w:t>
      </w:r>
      <w:r>
        <w:rPr>
          <w:rFonts w:ascii="Times New Roman" w:hAnsi="Times New Roman"/>
          <w:i/>
          <w:noProof/>
        </w:rPr>
        <w:t>data</w:t>
      </w:r>
      <w:r>
        <w:rPr>
          <w:rFonts w:ascii="Times New Roman" w:hAnsi="Times New Roman"/>
          <w:noProof/>
        </w:rPr>
        <w:t xml:space="preserve"> privata u pubblika. Dan jista’ jappoġġa l-emerġenza ta’ ekosistema innovattiva mmexxija mid-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li tkun ibbażata fuq relazzjonijiet kuntrattwali ġusti, isaħħaħ il-kapaċitajiet għall-monitoraġġ u għall-implimentazzjoni ta’ politiki komuni, u jnaqqas il-piż amministrattiv għall-gvern u l-benefiċjarji. Fl-2019, l-Istati Membri ngħaqdu u ffirmaw dikjarazzjoni ta’ kooperazzjoni msejħa “Futur diġitali intelliġenti u sostenibbli għall-agrikoltura u ż-żoni rurali Ewropej”</w:t>
      </w:r>
      <w:r>
        <w:rPr>
          <w:rStyle w:val="FootnoteReference"/>
          <w:rFonts w:ascii="Times New Roman" w:hAnsi="Times New Roman" w:cs="Times New Roman"/>
          <w:noProof/>
        </w:rPr>
        <w:footnoteReference w:id="68"/>
      </w:r>
      <w:r>
        <w:rPr>
          <w:rFonts w:ascii="Times New Roman" w:hAnsi="Times New Roman"/>
          <w:noProof/>
        </w:rPr>
        <w:t xml:space="preserve"> li tagħraf il-potenzjal tat-teknoloġiji diġitali għas-settur agrikolu u għaż-żoni rurali u tappoġġa l-ħolqien ta’ spazji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. </w:t>
      </w:r>
    </w:p>
    <w:p>
      <w:pPr>
        <w:keepNext/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Il-Kummissjoni: </w:t>
      </w:r>
    </w:p>
    <w:p>
      <w:pPr>
        <w:pStyle w:val="ListParagraph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Flimkien mal-organizzazzjonijiet tal-Istati Membri u tal-partijiet konċernati, se tistħarreġ l-esperjenzi miksuba bil-kodiċi tal-kondotta tal-partijiet konċernati għall-kondiviżjoni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agrikola bi ftehim kuntrattwali, anke abbażi tas-suq attwali għas-soluzzjonijiet diġitali tal-azjendi agrikoli u r-rekwiżiti tagħhom fejn jidħlu d-disponibbiltà u l-użu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(Q3/Q4 2020).</w:t>
      </w:r>
    </w:p>
    <w:p>
      <w:pPr>
        <w:pStyle w:val="ListParagraph"/>
        <w:numPr>
          <w:ilvl w:val="0"/>
          <w:numId w:val="16"/>
        </w:numPr>
        <w:spacing w:after="240"/>
        <w:contextualSpacing w:val="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</w:rPr>
        <w:t>Se tistħarreġ l-ispazji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agrikola fl-użu attwali, inkluż il-finanzjament mill-programm Orizzont 2020, u flimkien mal-organizzazzjonijiet tal-Istati Membri u tal-partijiet konċernati tieħu deċiżjoni dwar approċċ tal-UE (Q4 2020/Q1 2021).</w:t>
      </w:r>
    </w:p>
    <w:p>
      <w:pPr>
        <w:pStyle w:val="ListParagraph"/>
        <w:keepNext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Spazji komuni Ewropej tad-</w:t>
      </w:r>
      <w:r>
        <w:rPr>
          <w:rFonts w:ascii="Times New Roman" w:hAnsi="Times New Roman"/>
          <w:b/>
          <w:i/>
          <w:iCs/>
          <w:noProof/>
        </w:rPr>
        <w:t>data</w:t>
      </w:r>
      <w:r>
        <w:rPr>
          <w:rFonts w:ascii="Times New Roman" w:hAnsi="Times New Roman"/>
          <w:b/>
          <w:noProof/>
        </w:rPr>
        <w:t xml:space="preserve"> għall-amministrazzjonijiet pubbliċi 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</w:rPr>
        <w:t>L-amministrazzjonijiet pubbliċi huma produtturi u utenti kbar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f’diversi oqsma. Dan se jiġi rifless fl-ispazji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għall-amministrazzjonijiet pubbliċi. L-azzjonijiet f’dan il-qasam se jiffokaw fuq 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dwar il-liġi u l-akkwist pubbliku u fuq oqsma oħra ta’ interess pubbliku bħall-użu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biex jissaħħaħ l-infurzar tal-liġi fl-UE bi qbil mal-liġi tal-UE, inkluż il-prinċipju tal-proporzjonalità u r-regoli dwar il-protezzjoni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</w:rPr>
        <w:t>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dwar l-akkwist pubbliku hi essenzjali biex jitjiebu t-trasparenza u l-kontabbiltà tal-infiq pubbliku, għall-ġlieda kontra l-korruzzjoni, u biex titjieb il-kwalità tal-infiq. 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dwar l-akkwist pubbliku hi mifruxa fuq diversi sistemi fl-Istati Membri, tkun disponibbli f’formati differenti u ma tkunx tista’ tintuża faċilment għal skopijiet ta’ politika f’ħin reali. Ħafna drabi jkun hemm bżonn titjieb il-kwalità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>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</w:rPr>
        <w:t>Bl-istess mod, l-aċċess bla xkiel u l-użu mill-ġdid faċli tal-leġiżlazzjoni, il-ġurisprudenza u l-informazzjoni dwar is-servizzi elettroniċi tal-ġustizzja tal-UE u tal-Istati Membri, huma kruċjali mhux biss għall-applikazzjoni effettiva tal-liġi tal-UE iżda anki biex jinfetħu l-bibien għal applikazzjonijiet innovattivi tat-teknoloġija legali li jappoġġaw lill-prattikanti (lill-imħallfin, lill-uffiċjali pubbliċi, lill-konsulenti korporattivi u lill-avukati bi prattika privata).</w:t>
      </w:r>
    </w:p>
    <w:p>
      <w:pPr>
        <w:keepNext/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Il-Kummissjoni se:</w:t>
      </w:r>
    </w:p>
    <w:p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Tfassal inizjattiva dwar 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tal-akkwist pubbliku li tkun tkopri d-dimensjoni tal-UE (is-settijiet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tal-UE, bħat-TED</w:t>
      </w:r>
      <w:r>
        <w:rPr>
          <w:rStyle w:val="FootnoteReference"/>
          <w:rFonts w:ascii="Times New Roman" w:hAnsi="Times New Roman" w:cs="Times New Roman"/>
          <w:noProof/>
        </w:rPr>
        <w:footnoteReference w:id="69"/>
      </w:r>
      <w:r>
        <w:rPr>
          <w:rFonts w:ascii="Times New Roman" w:hAnsi="Times New Roman"/>
          <w:noProof/>
        </w:rPr>
        <w:t>) u d-dimensjonijiet nazzjonali (Q4 2020). Lil din se tikkumplimentaha b’qafas ta’ governanza għad-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dwar l-akkwist pubbliku (Q2 2021); </w:t>
      </w:r>
    </w:p>
    <w:p>
      <w:pPr>
        <w:pStyle w:val="ListParagraph"/>
        <w:numPr>
          <w:ilvl w:val="0"/>
          <w:numId w:val="17"/>
        </w:numPr>
        <w:spacing w:after="240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Toħroġ gwida dwar standards komuni u oqfsa interoperabbli għall-informazzjoni legali</w:t>
      </w:r>
      <w:r>
        <w:rPr>
          <w:rStyle w:val="FootnoteReference"/>
          <w:rFonts w:ascii="Times New Roman" w:hAnsi="Times New Roman" w:cs="Times New Roman"/>
          <w:noProof/>
        </w:rPr>
        <w:footnoteReference w:id="70"/>
      </w:r>
      <w:r>
        <w:rPr>
          <w:rFonts w:ascii="Times New Roman" w:hAnsi="Times New Roman"/>
          <w:noProof/>
        </w:rPr>
        <w:t xml:space="preserve"> miżmuma fil-livell Ewropew u nazzjonali, b’kooperazzjoni mill-qrib mal-Istati Membri (Q1 2021);</w:t>
      </w:r>
    </w:p>
    <w:p>
      <w:pPr>
        <w:pStyle w:val="ListParagraph"/>
        <w:numPr>
          <w:ilvl w:val="0"/>
          <w:numId w:val="17"/>
        </w:numPr>
        <w:spacing w:after="240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taħdem mal-Istati Membri biex tiżgura li s-sorsi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relatati mal-implimentazzjoni tal-baġit tal-UE jkunu Traċċabbli, Aċċessibbli, Interoperabbli u Riużabbli (FAIR).</w:t>
      </w:r>
    </w:p>
    <w:p>
      <w:pPr>
        <w:pStyle w:val="ListParagraph"/>
        <w:keepNext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Spazju komuni Ewropew tad-</w:t>
      </w:r>
      <w:r>
        <w:rPr>
          <w:rFonts w:ascii="Times New Roman" w:hAnsi="Times New Roman"/>
          <w:b/>
          <w:i/>
          <w:iCs/>
          <w:noProof/>
        </w:rPr>
        <w:t>data</w:t>
      </w:r>
      <w:r>
        <w:rPr>
          <w:rFonts w:ascii="Times New Roman" w:hAnsi="Times New Roman"/>
          <w:b/>
          <w:noProof/>
        </w:rPr>
        <w:t xml:space="preserve"> dwar il-ħiliet 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Il-ħiliet tan-nies huma l-aktar assi sod tal-Ewropa. Fit-tiġrija dinjija għat-talent, is-sistemi Ewropej tal-edukazzjoni u t-taħriġ u s-swieq tax-xogħol jeħtieġ jadattaw malajr għall-ħtiġijiet ġodda u emerġenti tal-ħiliet. Għal dan hemm bżonn 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ta’ kwalità għolja dwar il-kwalifiki, l-opportunitajiet tat-tagħlim, l-impjiegi u s-settijiet tal-ħiliet tan-nies. Tul dawn l-aħħar snin, il-Kummissjoni daħħlet fis-seħħ firxa ta’ standards miftuħa, oqfsa ta’ referenza u assi semantiċi biex jiżdiedu l-kwalità u l-interoperabbiltà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Style w:val="FootnoteReference"/>
          <w:rFonts w:ascii="Times New Roman" w:hAnsi="Times New Roman" w:cs="Times New Roman"/>
          <w:noProof/>
        </w:rPr>
        <w:footnoteReference w:id="71"/>
      </w:r>
      <w:r>
        <w:rPr>
          <w:rFonts w:ascii="Times New Roman" w:hAnsi="Times New Roman"/>
          <w:noProof/>
        </w:rPr>
        <w:t>. Kif ħabbar il-Pjan ta’ Azzjoni għall-Edukazzjoni Diġitali</w:t>
      </w:r>
      <w:r>
        <w:rPr>
          <w:rStyle w:val="FootnoteReference"/>
          <w:rFonts w:ascii="Times New Roman" w:hAnsi="Times New Roman" w:cs="Times New Roman"/>
          <w:noProof/>
        </w:rPr>
        <w:footnoteReference w:id="72"/>
      </w:r>
      <w:r>
        <w:rPr>
          <w:rFonts w:ascii="Times New Roman" w:hAnsi="Times New Roman"/>
          <w:noProof/>
        </w:rPr>
        <w:t>, il-Kummissjoni żviluppat ukoll il-qafas tal-Kredenzjali Diġitali tal-Europass biex toħroġ kredenzjali għall-istudenti b’format diġitali sigur u interoperabbli.</w:t>
      </w:r>
    </w:p>
    <w:p>
      <w:pPr>
        <w:keepNext/>
        <w:spacing w:after="1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</w:rPr>
        <w:t>Il-Kummissjoni se:</w:t>
      </w:r>
    </w:p>
    <w:p>
      <w:pPr>
        <w:pStyle w:val="ListParagraph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Tappoġġa lill-Istati Membri fl-iżvilupp ta’ pjanijiet li jittrasformaw il-kredenzjali diġitali u fit-tħejjija ta’ settijiet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riużabbli dwar il-kwalifiki u l-opportunitajiet tat-tagħlim (2020-2022);</w:t>
      </w:r>
    </w:p>
    <w:p>
      <w:pPr>
        <w:pStyle w:val="ListParagraph"/>
        <w:numPr>
          <w:ilvl w:val="0"/>
          <w:numId w:val="19"/>
        </w:numPr>
        <w:spacing w:after="240"/>
        <w:ind w:left="425" w:hanging="357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Tistabbilixxi mudell ta’ governanza għall-ġestjoni kontinwa tal-qafas tal-Kredenzjali Diġitali tal-Europass b’kooperazzjoni mill-qrib mal-Istati Membri u ma’ partijiet konċernati ewlenin (sal-2022).</w:t>
      </w:r>
    </w:p>
    <w:p>
      <w:pPr>
        <w:pStyle w:val="ListParagraph"/>
        <w:keepNext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</w:rPr>
        <w:t>Il-</w:t>
      </w:r>
      <w:r>
        <w:rPr>
          <w:rFonts w:ascii="Times New Roman" w:hAnsi="Times New Roman"/>
          <w:b/>
          <w:noProof/>
        </w:rPr>
        <w:t>Cloud Ewropew tax-Xjenza Miftuħa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Minbarra biex jinħolqu disa’ spazji komuni Ewropej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, il-ħidma se tissokta fuq il-Cloud Ewropew tax-Xjenza Miftuħa li tipprovdi aċċess bla xkiel u użu mill-ġdid affidabbli ta’ 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tar-riċerka lil riċerkaturi, innovaturi, kumpaniji u ċ-ċittadini Ewropej f’ambjent fdat u miftuħ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distribwita u servizzi relatati. Għaldaqstant, il-Cloud Ewropew tax-Xjenza Miftuħa hi l-bażi għal spazju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għax-xjenza, ir-riċerka u l-innovazzjoni li se jlaqqa’ flimkien 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li tinħoloq mill-programmi tar-riċerka u tal-implimentazzjoni, u se tingħaqad u tkun artikolata bis-sħiħ mal-ispazji tad-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settorjali. </w:t>
      </w:r>
    </w:p>
    <w:p>
      <w:pPr>
        <w:keepNext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Il-Kummissjoni se:</w:t>
      </w:r>
    </w:p>
    <w:p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Sal-2025, twettaq operazzjonijiet tal-Cloud Ewropew tax-Xjenza Miftuħa biex taqdi lir-riċerkaturi tal-UE; Sa tmiem l-2020, tmexxi l-iżvilupp fundamentali tal-istrutturi ta’ governanza tal-EOSC immexxija mill-partijiet konċernati, possibbilment b’rabta mat-tnedija tas-sħubija Ewropea korrispondenti tal-EOSC; </w:t>
      </w:r>
    </w:p>
    <w:p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Fi żmien medju, mill-2024 ’il quddiem, tiftaħ, tgħaqqad u tartikola l-EOSC lil hinn mill-komunitajiet tar-riċerka, mas-settur pubbliku usa’ u mas-settur privat.</w:t>
      </w:r>
    </w:p>
    <w:sectPr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F1299E" w16cid:durableId="21CF5684"/>
  <w16cid:commentId w16cid:paraId="2799898E" w16cid:durableId="21CF5A74"/>
  <w16cid:commentId w16cid:paraId="1DD68710" w16cid:durableId="21CF5685"/>
  <w16cid:commentId w16cid:paraId="2C151F3B" w16cid:durableId="21CF5AD6"/>
  <w16cid:commentId w16cid:paraId="4A08439C" w16cid:durableId="21CF5686"/>
  <w16cid:commentId w16cid:paraId="3A16867F" w16cid:durableId="21CF5687"/>
  <w16cid:commentId w16cid:paraId="0D329347" w16cid:durableId="21CF5688"/>
  <w16cid:commentId w16cid:paraId="6848B5CD" w16cid:durableId="21CF5689"/>
  <w16cid:commentId w16cid:paraId="48735D5A" w16cid:durableId="21CF568A"/>
  <w16cid:commentId w16cid:paraId="0CD12468" w16cid:durableId="21CF568B"/>
  <w16cid:commentId w16cid:paraId="4E6E7409" w16cid:durableId="21CF568C"/>
  <w16cid:commentId w16cid:paraId="09AFDDCD" w16cid:durableId="21CF6165"/>
  <w16cid:commentId w16cid:paraId="7E665754" w16cid:durableId="21CF568D"/>
  <w16cid:commentId w16cid:paraId="37313E75" w16cid:durableId="21CF568E"/>
  <w16cid:commentId w16cid:paraId="7735DB9A" w16cid:durableId="21CF568F"/>
  <w16cid:commentId w16cid:paraId="1296A08F" w16cid:durableId="21CF5690"/>
  <w16cid:commentId w16cid:paraId="379A42D9" w16cid:durableId="21CF5691"/>
  <w16cid:commentId w16cid:paraId="340361D0" w16cid:durableId="21CF5692"/>
  <w16cid:commentId w16cid:paraId="0CA5C2F5" w16cid:durableId="21CF6351"/>
  <w16cid:commentId w16cid:paraId="00CC4062" w16cid:durableId="21CF5693"/>
  <w16cid:commentId w16cid:paraId="36CE9E95" w16cid:durableId="21CF5694"/>
  <w16cid:commentId w16cid:paraId="2FA68FB3" w16cid:durableId="21CF5695"/>
  <w16cid:commentId w16cid:paraId="23E3959A" w16cid:durableId="21CF5696"/>
  <w16cid:commentId w16cid:paraId="6CEF0B09" w16cid:durableId="21CF5697"/>
  <w16cid:commentId w16cid:paraId="7368D092" w16cid:durableId="21CF640E"/>
  <w16cid:commentId w16cid:paraId="29874D29" w16cid:durableId="21CF5698"/>
  <w16cid:commentId w16cid:paraId="46A7DF28" w16cid:durableId="21CF5699"/>
  <w16cid:commentId w16cid:paraId="3128E364" w16cid:durableId="21CF569A"/>
  <w16cid:commentId w16cid:paraId="08A82F59" w16cid:durableId="21CF569B"/>
  <w16cid:commentId w16cid:paraId="372D2FC4" w16cid:durableId="21CF569C"/>
  <w16cid:commentId w16cid:paraId="5B8E4226" w16cid:durableId="21CF569D"/>
  <w16cid:commentId w16cid:paraId="7B8CA4BC" w16cid:durableId="21CF56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 Square Sans Cond Pro">
    <w:altName w:val="Segoe UI"/>
    <w:panose1 w:val="020B0506040000020004"/>
    <w:charset w:val="00"/>
    <w:family w:val="swiss"/>
    <w:pitch w:val="variable"/>
    <w:sig w:usb0="A00002BF" w:usb1="500000D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MT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MT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58884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7780906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IDC, 2018. </w:t>
      </w:r>
    </w:p>
  </w:footnote>
  <w:footnote w:id="3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Gartner, 2017.</w:t>
      </w:r>
    </w:p>
  </w:footnote>
  <w:footnote w:id="4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Ir-Regolament (UE) 2016/679. </w:t>
      </w:r>
    </w:p>
  </w:footnote>
  <w:footnote w:id="5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Ir-Regolament (UE) 2018/1807. </w:t>
      </w:r>
    </w:p>
  </w:footnote>
  <w:footnote w:id="6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Ir-Regolament (UE) 2019/881. </w:t>
      </w:r>
    </w:p>
  </w:footnote>
  <w:footnote w:id="7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Id-Direttiva (UE) 2019/1024. </w:t>
      </w:r>
    </w:p>
  </w:footnote>
  <w:footnote w:id="8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Ir-Regolament 715/2007 kif emendat bir-Regolament 595/2009. </w:t>
      </w:r>
    </w:p>
  </w:footnote>
  <w:footnote w:id="9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Id-Direttiva 2015/2366 dwar is-Servizzi tal-Pagamenti. </w:t>
      </w:r>
    </w:p>
  </w:footnote>
  <w:footnote w:id="10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Id-Direttiva 2019/944 għall-elettriku, id-Direttiva 2009/73/KE għall-miters tal-gass. </w:t>
      </w:r>
    </w:p>
  </w:footnote>
  <w:footnote w:id="11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Ir-Regolament tal-Kummissjoni (UE) 2017/1485, ir-Regolament tal-Kummissjoni (UE) 2015/703. </w:t>
      </w:r>
    </w:p>
  </w:footnote>
  <w:footnote w:id="12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Id-Direttiva 2010/40/UE. </w:t>
      </w:r>
    </w:p>
  </w:footnote>
  <w:footnote w:id="13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Id-Direttiva (UE) 2019/770.</w:t>
      </w:r>
    </w:p>
  </w:footnote>
  <w:footnote w:id="14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Fil-każ tal-aħħar, id-</w:t>
      </w:r>
      <w:r>
        <w:rPr>
          <w:rFonts w:ascii="Times New Roman" w:hAnsi="Times New Roman"/>
          <w:i/>
        </w:rPr>
        <w:t>data</w:t>
      </w:r>
      <w:r>
        <w:rPr>
          <w:rFonts w:ascii="Times New Roman" w:hAnsi="Times New Roman"/>
        </w:rPr>
        <w:t xml:space="preserve"> ma titqigħedx f’xi post ċentrali biex tkun tista’ tiġi analizzata flimkien ma’ assi oħra tad-</w:t>
      </w:r>
      <w:r>
        <w:rPr>
          <w:rFonts w:ascii="Times New Roman" w:hAnsi="Times New Roman"/>
          <w:i/>
        </w:rPr>
        <w:t>data</w:t>
      </w:r>
      <w:r>
        <w:rPr>
          <w:rFonts w:ascii="Times New Roman" w:hAnsi="Times New Roman"/>
        </w:rPr>
        <w:t>. L-għodod analitiċi javviċinaw lid-</w:t>
      </w:r>
      <w:r>
        <w:rPr>
          <w:rFonts w:ascii="Times New Roman" w:hAnsi="Times New Roman"/>
          <w:i/>
        </w:rPr>
        <w:t>data</w:t>
      </w:r>
      <w:r>
        <w:rPr>
          <w:rFonts w:ascii="Times New Roman" w:hAnsi="Times New Roman"/>
        </w:rPr>
        <w:t xml:space="preserve"> u mhux bil-kontra. B’hekk ikun aktar faċli li d-</w:t>
      </w:r>
      <w:r>
        <w:rPr>
          <w:rFonts w:ascii="Times New Roman" w:hAnsi="Times New Roman"/>
          <w:i/>
        </w:rPr>
        <w:t>data</w:t>
      </w:r>
      <w:r>
        <w:rPr>
          <w:rFonts w:ascii="Times New Roman" w:hAnsi="Times New Roman"/>
        </w:rPr>
        <w:t xml:space="preserve"> tinżamm sigura u jkun żgurat ċertu kontroll fuq min jaċċessa d-</w:t>
      </w:r>
      <w:r>
        <w:rPr>
          <w:rFonts w:ascii="Times New Roman" w:hAnsi="Times New Roman"/>
          <w:i/>
        </w:rPr>
        <w:t>data</w:t>
      </w:r>
      <w:r>
        <w:rPr>
          <w:rFonts w:ascii="Times New Roman" w:hAnsi="Times New Roman"/>
        </w:rPr>
        <w:t xml:space="preserve">, liema </w:t>
      </w:r>
      <w:r>
        <w:rPr>
          <w:rFonts w:ascii="Times New Roman" w:hAnsi="Times New Roman"/>
          <w:i/>
        </w:rPr>
        <w:t>data</w:t>
      </w:r>
      <w:r>
        <w:rPr>
          <w:rFonts w:ascii="Times New Roman" w:hAnsi="Times New Roman"/>
        </w:rPr>
        <w:t xml:space="preserve"> tiġi aċċessata, u għal liema skopijiet.</w:t>
      </w:r>
    </w:p>
  </w:footnote>
  <w:footnote w:id="15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Pereżempju, il-“LOI n° 2016-1321 du 7 octobre 2016 pour une République numérique” ta’ Franza li permezz tagħha s-settur pubbliku jkollu aċċess għal ċerta </w:t>
      </w:r>
      <w:r>
        <w:rPr>
          <w:rFonts w:ascii="Times New Roman" w:hAnsi="Times New Roman"/>
          <w:i/>
        </w:rPr>
        <w:t>data</w:t>
      </w:r>
      <w:r>
        <w:rPr>
          <w:rFonts w:ascii="Times New Roman" w:hAnsi="Times New Roman"/>
        </w:rPr>
        <w:t xml:space="preserve"> (tas-settur privat) ta’ interess ġenerali, jew l-Att Finlandiż dwar il-Foresti jobbliga lis-sidien tal-foresti biex jaqsmu informazzjoni dwar il-ġestjoni tal-foresti mas-settur pubbliku.</w:t>
      </w:r>
    </w:p>
  </w:footnote>
  <w:footnote w:id="16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Style w:val="FootnoteReference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Pereżempju l-liġi Finlandiża dwar l-użu sekondarju tad-</w:t>
      </w:r>
      <w:r>
        <w:rPr>
          <w:rFonts w:ascii="Times New Roman" w:hAnsi="Times New Roman"/>
          <w:i/>
        </w:rPr>
        <w:t>data</w:t>
      </w:r>
      <w:r>
        <w:rPr>
          <w:rFonts w:ascii="Times New Roman" w:hAnsi="Times New Roman"/>
        </w:rPr>
        <w:t xml:space="preserve"> tas-saħħa u soċjali, li toħloq awtorità tal-permessi tad-</w:t>
      </w:r>
      <w:r>
        <w:rPr>
          <w:rFonts w:ascii="Times New Roman" w:hAnsi="Times New Roman"/>
          <w:i/>
        </w:rPr>
        <w:t>data</w:t>
      </w:r>
      <w:r>
        <w:rPr>
          <w:rFonts w:ascii="Times New Roman" w:hAnsi="Times New Roman"/>
        </w:rPr>
        <w:t>.</w:t>
      </w:r>
    </w:p>
  </w:footnote>
  <w:footnote w:id="17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Bħalissa fil-Ġermanja għaddejjin diskussjonijiet dwar l-adattament tar-regoli tal-kompetizzjoni biex ikunu aktar adegwati għall-ekonomija tad-</w:t>
      </w:r>
      <w:r>
        <w:rPr>
          <w:rFonts w:ascii="Times New Roman" w:hAnsi="Times New Roman"/>
          <w:i/>
        </w:rPr>
        <w:t>data</w:t>
      </w:r>
      <w:r>
        <w:rPr>
          <w:rFonts w:ascii="Times New Roman" w:hAnsi="Times New Roman"/>
        </w:rPr>
        <w:t>. Ara wkoll ir-rapport għall-Kummissjoni dwar “Il-Politika tal-Kompetizzjoni għall-Era Diġitali”.</w:t>
      </w:r>
    </w:p>
  </w:footnote>
  <w:footnote w:id="18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Biex tiżdied iċ-ċertezza legali, f’Mejju 2019 il-Kummissjoni Ewropea ħarġet gwida prattika għan-negozji dwar kif jipproċessaw is-settijiet tad-</w:t>
      </w:r>
      <w:r>
        <w:rPr>
          <w:rFonts w:ascii="Times New Roman" w:hAnsi="Times New Roman"/>
          <w:i/>
        </w:rPr>
        <w:t>data</w:t>
      </w:r>
      <w:r>
        <w:rPr>
          <w:rFonts w:ascii="Times New Roman" w:hAnsi="Times New Roman"/>
        </w:rPr>
        <w:t xml:space="preserve"> mħallta; ara COM(2019)250 </w:t>
      </w:r>
      <w:hyperlink r:id="rId1" w:history="1">
        <w:r>
          <w:rPr>
            <w:rStyle w:val="Hyperlink"/>
            <w:rFonts w:ascii="Times New Roman" w:hAnsi="Times New Roman"/>
          </w:rPr>
          <w:t>https://ec.europa.eu/digital-single-market/en/news/practical-guidance-businesses-how-process-mixed-datasets</w:t>
        </w:r>
      </w:hyperlink>
    </w:p>
  </w:footnote>
  <w:footnote w:id="19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Minn mindu ġiet adottata d-Direttiva 2003/98/KE dwar l-użu mill-ġdid tal-informazzjoni tas-settur pubbliku. </w:t>
      </w:r>
    </w:p>
  </w:footnote>
  <w:footnote w:id="20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Id-Direttiva (UE) 2019/1024, li tħassar id-Direttiva 2003/98/KE kif riveduta mid-Direttiva 2013/37/UE. </w:t>
      </w:r>
    </w:p>
  </w:footnote>
  <w:footnote w:id="21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Il-portal Ewropew tad-</w:t>
      </w:r>
      <w:r>
        <w:rPr>
          <w:rFonts w:ascii="Times New Roman" w:hAnsi="Times New Roman"/>
          <w:i/>
          <w:iCs/>
        </w:rPr>
        <w:t>data</w:t>
      </w:r>
      <w:r>
        <w:rPr>
          <w:rFonts w:ascii="Times New Roman" w:hAnsi="Times New Roman"/>
        </w:rPr>
        <w:t xml:space="preserve"> miftuħa fih eżempji ta’ firxa ta’ kumpaniji minn madwar l-UE li bbenefikaw mid-data miftuħa, u wħud minnhom ma kinux jeżistu mingħajr id-disponibbiltà tad-</w:t>
      </w:r>
      <w:r>
        <w:rPr>
          <w:rFonts w:ascii="Times New Roman" w:hAnsi="Times New Roman"/>
          <w:i/>
        </w:rPr>
        <w:t>data</w:t>
      </w:r>
      <w:r>
        <w:rPr>
          <w:rFonts w:ascii="Times New Roman" w:hAnsi="Times New Roman"/>
        </w:rPr>
        <w:t xml:space="preserve">. </w:t>
      </w:r>
      <w:hyperlink r:id="rId2" w:history="1">
        <w:r>
          <w:rPr>
            <w:rStyle w:val="Hyperlink"/>
            <w:rFonts w:ascii="Times New Roman" w:hAnsi="Times New Roman"/>
          </w:rPr>
          <w:t>https://www.europeandataportal.eu/en/using-data/use-cases</w:t>
        </w:r>
      </w:hyperlink>
      <w:r>
        <w:rPr>
          <w:rFonts w:ascii="Times New Roman" w:hAnsi="Times New Roman"/>
        </w:rPr>
        <w:t>.</w:t>
      </w:r>
    </w:p>
  </w:footnote>
  <w:footnote w:id="22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Pereżempju f’oqsma ġodda bħall-ħidma fuq il-pjattaforma.</w:t>
      </w:r>
    </w:p>
  </w:footnote>
  <w:footnote w:id="23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L-ambitu tal-ħidma fuq il-B2G ma jinkludix l-użu tad-</w:t>
      </w:r>
      <w:r>
        <w:rPr>
          <w:rFonts w:ascii="Times New Roman" w:hAnsi="Times New Roman"/>
          <w:i/>
        </w:rPr>
        <w:t>data</w:t>
      </w:r>
      <w:r>
        <w:rPr>
          <w:rFonts w:ascii="Times New Roman" w:hAnsi="Times New Roman"/>
        </w:rPr>
        <w:t xml:space="preserve"> għall-finijiet ta’ infurzar tal-liġi. Kull azzjoni f’dan il-qasam jenħtieġ tkun konformi mal-leġiżlazzjoni dwar il-protezzjoni tad-</w:t>
      </w:r>
      <w:r>
        <w:rPr>
          <w:rFonts w:ascii="Times New Roman" w:hAnsi="Times New Roman"/>
          <w:i/>
        </w:rPr>
        <w:t>data</w:t>
      </w:r>
      <w:r>
        <w:rPr>
          <w:rFonts w:ascii="Times New Roman" w:hAnsi="Times New Roman"/>
        </w:rPr>
        <w:t xml:space="preserve"> u l-privatezza.</w:t>
      </w:r>
    </w:p>
  </w:footnote>
  <w:footnote w:id="24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żur: </w:t>
      </w:r>
      <w:hyperlink r:id="rId3" w:history="1">
        <w:r>
          <w:rPr>
            <w:rStyle w:val="Hyperlink"/>
            <w:rFonts w:ascii="Times New Roman" w:hAnsi="Times New Roman"/>
          </w:rPr>
          <w:t>https://ec.europa.eu/digital-single-market/news-redirect/666643</w:t>
        </w:r>
      </w:hyperlink>
      <w:r>
        <w:rPr>
          <w:rFonts w:ascii="Times New Roman" w:hAnsi="Times New Roman"/>
        </w:rPr>
        <w:t>.</w:t>
      </w:r>
    </w:p>
  </w:footnote>
  <w:footnote w:id="25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4" w:history="1">
        <w:r>
          <w:rPr>
            <w:rStyle w:val="Hyperlink"/>
            <w:rFonts w:ascii="Times New Roman" w:hAnsi="Times New Roman"/>
          </w:rPr>
          <w:t>https://ec.europa.eu/digital-single-market/en/news/rolling-plan-ict-standardisation</w:t>
        </w:r>
      </w:hyperlink>
      <w:r>
        <w:rPr>
          <w:rFonts w:ascii="Times New Roman" w:hAnsi="Times New Roman"/>
        </w:rPr>
        <w:t>.</w:t>
      </w:r>
    </w:p>
  </w:footnote>
  <w:footnote w:id="26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</w:rPr>
          <w:t>https://ec.europa.eu/isa2/eif_en</w:t>
        </w:r>
      </w:hyperlink>
      <w:r>
        <w:rPr>
          <w:rStyle w:val="Hyperlink"/>
          <w:rFonts w:ascii="Times New Roman" w:hAnsi="Times New Roman"/>
        </w:rPr>
        <w:t xml:space="preserve">; ara: </w:t>
      </w:r>
      <w:r>
        <w:rPr>
          <w:rFonts w:ascii="Times New Roman" w:hAnsi="Times New Roman"/>
          <w:color w:val="1F497D"/>
        </w:rPr>
        <w:t>COM(2017)134 final.</w:t>
      </w:r>
      <w:r>
        <w:rPr>
          <w:rFonts w:ascii="Times New Roman" w:hAnsi="Times New Roman"/>
        </w:rPr>
        <w:t xml:space="preserve"> </w:t>
      </w:r>
    </w:p>
  </w:footnote>
  <w:footnote w:id="27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>Eż. f’sensiela riċenti ta’ gruppi ta’ ħidma li għamlet il-Kummissjoni dwar il-kunċett ta’ “spazju komuni Ewropew tad-</w:t>
      </w:r>
      <w:r>
        <w:rPr>
          <w:rFonts w:ascii="Times New Roman" w:hAnsi="Times New Roman"/>
          <w:i/>
        </w:rPr>
        <w:t>data</w:t>
      </w:r>
      <w:r>
        <w:rPr>
          <w:rFonts w:ascii="Times New Roman" w:hAnsi="Times New Roman"/>
        </w:rPr>
        <w:t xml:space="preserve">” </w:t>
      </w:r>
      <w:hyperlink r:id="rId6" w:history="1">
        <w:r>
          <w:rPr>
            <w:rStyle w:val="Hyperlink"/>
            <w:rFonts w:ascii="Times New Roman" w:hAnsi="Times New Roman"/>
          </w:rPr>
          <w:t>https://ec.europa.eu/digital-single-market/en/news/report-european-commissions-workshops-common-european-data-spaces</w:t>
        </w:r>
      </w:hyperlink>
      <w:r>
        <w:rPr>
          <w:rFonts w:ascii="Times New Roman" w:hAnsi="Times New Roman"/>
        </w:rPr>
        <w:t xml:space="preserve">. </w:t>
      </w:r>
    </w:p>
  </w:footnote>
  <w:footnote w:id="28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Studju dwar id-detriment ekonomiku minħabba termini kuntrattwali inġusti u żbilanċjati tal-cloud computing.</w:t>
      </w:r>
    </w:p>
  </w:footnote>
  <w:footnote w:id="29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7" w:history="1">
        <w:r>
          <w:rPr>
            <w:rStyle w:val="Hyperlink"/>
            <w:rFonts w:ascii="Times New Roman" w:hAnsi="Times New Roman"/>
          </w:rPr>
          <w:t>https://ec.europa.eu/eurostat/statistics-explained/index.php/Cloud_computing_-_statistics_on_the_use_by_enterprises</w:t>
        </w:r>
      </w:hyperlink>
      <w:r>
        <w:rPr>
          <w:rFonts w:ascii="Times New Roman" w:hAnsi="Times New Roman"/>
        </w:rPr>
        <w:t xml:space="preserve">. </w:t>
      </w:r>
    </w:p>
  </w:footnote>
  <w:footnote w:id="30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Ara pereżempju Cremer/deMontjoye/Schweitzer, Competition policy for the digital era (Politika tal-kompetizzjoni għall-era diġitali); Furman, Unlocking digital competition (Niftħu l-kompetizzjoni diġitali), rapport għall-gvern tar-Renju Unit; German Datenethikkommission. </w:t>
      </w:r>
    </w:p>
  </w:footnote>
  <w:footnote w:id="31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Ara l-introduzzjoni ta’ Dritt ġdid tad-</w:t>
      </w:r>
      <w:r>
        <w:rPr>
          <w:rFonts w:ascii="Times New Roman" w:hAnsi="Times New Roman"/>
          <w:i/>
        </w:rPr>
        <w:t>Data</w:t>
      </w:r>
      <w:r>
        <w:rPr>
          <w:rFonts w:ascii="Times New Roman" w:hAnsi="Times New Roman"/>
        </w:rPr>
        <w:t xml:space="preserve"> tal-Konsumatur fl-Awstralja, </w:t>
      </w:r>
      <w:hyperlink r:id="rId8" w:history="1">
        <w:r>
          <w:rPr>
            <w:rStyle w:val="Hyperlink"/>
            <w:rFonts w:ascii="Times New Roman" w:hAnsi="Times New Roman"/>
          </w:rPr>
          <w:t>https://www.accc.gov.au/focus-areas/consumer-data-right-cdr-0</w:t>
        </w:r>
      </w:hyperlink>
      <w:r>
        <w:rPr>
          <w:rFonts w:ascii="Times New Roman" w:hAnsi="Times New Roman"/>
        </w:rPr>
        <w:t xml:space="preserve"> u l-konsultazzjoni dwar il-portabbiltà tad-</w:t>
      </w:r>
      <w:r>
        <w:rPr>
          <w:rFonts w:ascii="Times New Roman" w:hAnsi="Times New Roman"/>
          <w:i/>
        </w:rPr>
        <w:t>data</w:t>
      </w:r>
      <w:r>
        <w:rPr>
          <w:rFonts w:ascii="Times New Roman" w:hAnsi="Times New Roman"/>
        </w:rPr>
        <w:t xml:space="preserve"> f’Singapore.</w:t>
      </w:r>
    </w:p>
  </w:footnote>
  <w:footnote w:id="32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9" w:history="1">
        <w:r>
          <w:rPr>
            <w:rStyle w:val="Hyperlink"/>
            <w:rFonts w:ascii="Times New Roman" w:hAnsi="Times New Roman"/>
          </w:rPr>
          <w:t>https://mydata.org/</w:t>
        </w:r>
      </w:hyperlink>
      <w:r>
        <w:rPr>
          <w:rStyle w:val="Hyperlink"/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hyperlink r:id="rId10" w:history="1">
        <w:r>
          <w:rPr>
            <w:rStyle w:val="Hyperlink"/>
            <w:rFonts w:ascii="Times New Roman" w:hAnsi="Times New Roman"/>
          </w:rPr>
          <w:t>https://www.decodeproject.eu/</w:t>
        </w:r>
      </w:hyperlink>
      <w:r>
        <w:rPr>
          <w:rFonts w:ascii="Times New Roman" w:hAnsi="Times New Roman"/>
        </w:rPr>
        <w:t xml:space="preserve">; </w:t>
      </w:r>
      <w:hyperlink r:id="rId11" w:history="1">
        <w:r>
          <w:rPr>
            <w:rStyle w:val="Hyperlink"/>
            <w:rFonts w:ascii="Times New Roman" w:hAnsi="Times New Roman"/>
          </w:rPr>
          <w:t>https://solid.mit.edu/</w:t>
        </w:r>
      </w:hyperlink>
      <w:r>
        <w:rPr>
          <w:rFonts w:ascii="Times New Roman" w:hAnsi="Times New Roman"/>
        </w:rPr>
        <w:t xml:space="preserve">, </w:t>
      </w:r>
      <w:hyperlink r:id="rId12" w:history="1">
        <w:r>
          <w:rPr>
            <w:rStyle w:val="Hyperlink"/>
            <w:rFonts w:ascii="Times New Roman" w:hAnsi="Times New Roman"/>
          </w:rPr>
          <w:t>https://radicalxchange.org/</w:t>
        </w:r>
      </w:hyperlink>
      <w:r>
        <w:rPr>
          <w:rFonts w:ascii="Times New Roman" w:hAnsi="Times New Roman"/>
        </w:rPr>
        <w:t xml:space="preserve"> </w:t>
      </w:r>
    </w:p>
  </w:footnote>
  <w:footnote w:id="33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Ara r-rapport tad-Datenethikkommission Ġermaniża, p. 133 u d-Dokument ta’ Ħidma tal-Persunal p. 8.</w:t>
      </w:r>
    </w:p>
  </w:footnote>
  <w:footnote w:id="34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IDC 2019. </w:t>
      </w:r>
    </w:p>
  </w:footnote>
  <w:footnote w:id="35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Ir-Regolament (UE) 2019/881 – l-Att dwar iċ-Ċibersigurtà Ewropew.</w:t>
      </w:r>
    </w:p>
  </w:footnote>
  <w:footnote w:id="36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L-Awtorità Finlandiża għall-Permessi tad-</w:t>
      </w:r>
      <w:r>
        <w:rPr>
          <w:rFonts w:ascii="Times New Roman" w:hAnsi="Times New Roman"/>
          <w:i/>
        </w:rPr>
        <w:t>Data</w:t>
      </w:r>
      <w:r>
        <w:rPr>
          <w:rFonts w:ascii="Times New Roman" w:hAnsi="Times New Roman"/>
        </w:rPr>
        <w:t xml:space="preserve"> Soċjali u tas-Saħħa (https://www.findata.fi/en/), iċ-Ċentru Franċiż tad-</w:t>
      </w:r>
      <w:r>
        <w:rPr>
          <w:rFonts w:ascii="Times New Roman" w:hAnsi="Times New Roman"/>
          <w:i/>
        </w:rPr>
        <w:t>Data</w:t>
      </w:r>
      <w:r>
        <w:rPr>
          <w:rFonts w:ascii="Times New Roman" w:hAnsi="Times New Roman"/>
        </w:rPr>
        <w:t xml:space="preserve"> tas-Saħħa (</w:t>
      </w:r>
      <w:hyperlink r:id="rId13" w:history="1">
        <w:r>
          <w:rPr>
            <w:rStyle w:val="Hyperlink"/>
            <w:rFonts w:ascii="Times New Roman" w:hAnsi="Times New Roman"/>
          </w:rPr>
          <w:t>https://www.health-data-hub.fr/</w:t>
        </w:r>
      </w:hyperlink>
      <w:r>
        <w:rPr>
          <w:rFonts w:ascii="Times New Roman" w:hAnsi="Times New Roman"/>
        </w:rPr>
        <w:t>), il-Forschungsdatenzentrum Ġermaniż (</w:t>
      </w:r>
      <w:hyperlink r:id="rId14" w:history="1">
        <w:r>
          <w:rPr>
            <w:rStyle w:val="Hyperlink"/>
            <w:rFonts w:ascii="Times New Roman" w:hAnsi="Times New Roman"/>
          </w:rPr>
          <w:t>https://www.forschungsdatenzentrum.de/en</w:t>
        </w:r>
      </w:hyperlink>
      <w:r>
        <w:rPr>
          <w:rFonts w:ascii="Times New Roman" w:hAnsi="Times New Roman"/>
        </w:rPr>
        <w:t xml:space="preserve">). </w:t>
      </w:r>
    </w:p>
  </w:footnote>
  <w:footnote w:id="37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L-idea mhix li jinħoloq korp li jiżviluppa standards ġodda, iżda minflok li tkun tista’ ssir prijoritizzazzjoni bejn l-istandards eżistenti u dawk futuri li jiġu żviluppati.</w:t>
      </w:r>
    </w:p>
  </w:footnote>
  <w:footnote w:id="38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Ara wkoll il-prinċipji FAIR tad-</w:t>
      </w:r>
      <w:r>
        <w:rPr>
          <w:rFonts w:ascii="Times New Roman" w:hAnsi="Times New Roman"/>
          <w:i/>
        </w:rPr>
        <w:t>data</w:t>
      </w:r>
      <w:r>
        <w:rPr>
          <w:rFonts w:ascii="Times New Roman" w:hAnsi="Times New Roman"/>
        </w:rPr>
        <w:t xml:space="preserve">: </w:t>
      </w:r>
      <w:hyperlink r:id="rId15" w:history="1">
        <w:r>
          <w:rPr>
            <w:rStyle w:val="Hyperlink"/>
            <w:rFonts w:ascii="Times New Roman" w:hAnsi="Times New Roman"/>
          </w:rPr>
          <w:t>https://www.force11.org/group/fairgroup/fairprinciples</w:t>
        </w:r>
      </w:hyperlink>
      <w:r>
        <w:rPr>
          <w:rFonts w:ascii="Times New Roman" w:hAnsi="Times New Roman"/>
        </w:rPr>
        <w:t>.</w:t>
      </w:r>
    </w:p>
  </w:footnote>
  <w:footnote w:id="39">
    <w:p>
      <w:pPr>
        <w:jc w:val="both"/>
        <w:rPr>
          <w:rFonts w:ascii="Times" w:hAnsi="Times"/>
          <w:sz w:val="20"/>
          <w:szCs w:val="20"/>
        </w:rPr>
      </w:pPr>
      <w:r>
        <w:rPr>
          <w:rStyle w:val="FootnoteReference"/>
          <w:rFonts w:ascii="Times" w:hAnsi="Times"/>
          <w:sz w:val="20"/>
          <w:szCs w:val="20"/>
        </w:rPr>
        <w:footnoteRef/>
      </w:r>
      <w:r>
        <w:rPr>
          <w:rFonts w:ascii="Times" w:hAnsi="Times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Pereżempju, id-Dikjarazzjoni Ministerjali ta’ Tallinn tal-2017 dwar il-Gvern Elettroniku tappella lill-gvernijiet biex “iżidu t-traċċabbiltà, il-kwalità u l-aċċessibbiltà teknika tad-</w:t>
      </w:r>
      <w:r>
        <w:rPr>
          <w:rFonts w:ascii="Times New Roman" w:hAnsi="Times New Roman"/>
          <w:i/>
          <w:sz w:val="20"/>
          <w:szCs w:val="20"/>
        </w:rPr>
        <w:t>data</w:t>
      </w:r>
      <w:r>
        <w:rPr>
          <w:rFonts w:ascii="Times New Roman" w:hAnsi="Times New Roman"/>
          <w:sz w:val="20"/>
          <w:szCs w:val="20"/>
        </w:rPr>
        <w:t xml:space="preserve"> f’reġistri bażiċi ewlenin.”</w:t>
      </w:r>
    </w:p>
  </w:footnote>
  <w:footnote w:id="40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Jenħtieġ li d-dritt tal-aċċess għad-</w:t>
      </w:r>
      <w:r>
        <w:rPr>
          <w:rFonts w:ascii="Times New Roman" w:hAnsi="Times New Roman"/>
          <w:i/>
        </w:rPr>
        <w:t>data</w:t>
      </w:r>
      <w:r>
        <w:rPr>
          <w:rFonts w:ascii="Times New Roman" w:hAnsi="Times New Roman"/>
        </w:rPr>
        <w:t xml:space="preserve"> jkun speċifiku għas-setturi biss u jingħata biss jekk ikun ġie identifikat/imbassar xi falliment tas-suq f’dan is-settur, u l-liġi tal-kompetizzjoni ma tkunx tista’ ssolvih. L-ambitu tad-dritt tal-aċċess għad-</w:t>
      </w:r>
      <w:r>
        <w:rPr>
          <w:rFonts w:ascii="Times New Roman" w:hAnsi="Times New Roman"/>
          <w:i/>
        </w:rPr>
        <w:t>data</w:t>
      </w:r>
      <w:r>
        <w:rPr>
          <w:rFonts w:ascii="Times New Roman" w:hAnsi="Times New Roman"/>
        </w:rPr>
        <w:t xml:space="preserve"> jenħtieġ iqis l-interessi leġittimi tad-detentur tad-</w:t>
      </w:r>
      <w:r>
        <w:rPr>
          <w:rFonts w:ascii="Times New Roman" w:hAnsi="Times New Roman"/>
          <w:i/>
        </w:rPr>
        <w:t>data</w:t>
      </w:r>
      <w:r>
        <w:rPr>
          <w:rFonts w:ascii="Times New Roman" w:hAnsi="Times New Roman"/>
        </w:rPr>
        <w:t xml:space="preserve"> u jeħtieġ jirrispetta l-qafas ġuridiku.</w:t>
      </w:r>
    </w:p>
  </w:footnote>
  <w:footnote w:id="41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Hemm varjazzjonijiet ta’ dan il-prinċipju li japplikaw b’mod partikolari fir-rigward ta’ ċerta informazzjoni dwar it-tiswija u l-manutenzjoni tal-vetturi bil-mutur li trid tkun aċċessibbli skont ir-Regolament 715/2007 kif ukoll għal informazzjoni li toħroġ mill-ittestjar ta’ sustanzi kimiċi fuq annimali vertebrati skont ir-Regolament 1907/2006 (REACH). </w:t>
      </w:r>
    </w:p>
  </w:footnote>
  <w:footnote w:id="42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Id-Direttiva 96/9/KE.</w:t>
      </w:r>
    </w:p>
  </w:footnote>
  <w:footnote w:id="43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Id-Direttiva (UE) 2016/943.</w:t>
      </w:r>
    </w:p>
  </w:footnote>
  <w:footnote w:id="44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2011/C 11/01.</w:t>
      </w:r>
    </w:p>
  </w:footnote>
  <w:footnote w:id="45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16" w:history="1">
        <w:r>
          <w:rPr>
            <w:rStyle w:val="Hyperlink"/>
            <w:rFonts w:ascii="Times New Roman" w:hAnsi="Times New Roman"/>
          </w:rPr>
          <w:t>https://swipo.eu/</w:t>
        </w:r>
      </w:hyperlink>
      <w:r>
        <w:rPr>
          <w:rFonts w:ascii="Times New Roman" w:hAnsi="Times New Roman"/>
        </w:rPr>
        <w:t xml:space="preserve"> L-approċċ hu bbażat fuq ir-Regolament dwar il-Fluss Liberu tad-</w:t>
      </w:r>
      <w:r>
        <w:rPr>
          <w:rFonts w:ascii="Times New Roman" w:hAnsi="Times New Roman"/>
          <w:i/>
        </w:rPr>
        <w:t>Data</w:t>
      </w:r>
      <w:r>
        <w:rPr>
          <w:rFonts w:ascii="Times New Roman" w:hAnsi="Times New Roman"/>
        </w:rPr>
        <w:t>, ir-Regolament (UE) Nru 2018/1807.</w:t>
      </w:r>
    </w:p>
  </w:footnote>
  <w:footnote w:id="46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17" w:history="1">
        <w:r>
          <w:rPr>
            <w:rStyle w:val="Hyperlink"/>
            <w:rFonts w:ascii="Times New Roman" w:hAnsi="Times New Roman"/>
          </w:rPr>
          <w:t>https://data.europa.eu/euodp/en/data/</w:t>
        </w:r>
      </w:hyperlink>
      <w:r>
        <w:rPr>
          <w:rFonts w:ascii="Times New Roman" w:hAnsi="Times New Roman"/>
        </w:rPr>
        <w:t>.</w:t>
      </w:r>
    </w:p>
  </w:footnote>
  <w:footnote w:id="47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18" w:history="1">
        <w:r>
          <w:rPr>
            <w:rStyle w:val="Hyperlink"/>
            <w:rFonts w:ascii="Times New Roman" w:hAnsi="Times New Roman"/>
          </w:rPr>
          <w:t>https://ec.europa.eu/research/openscience/index.cfm?pg=open-science-cloud</w:t>
        </w:r>
      </w:hyperlink>
      <w:r>
        <w:rPr>
          <w:rFonts w:ascii="Times New Roman" w:hAnsi="Times New Roman"/>
        </w:rPr>
        <w:t>. Ara wkoll COM (2016) 178 final u SWD(2018)83.</w:t>
      </w:r>
    </w:p>
  </w:footnote>
  <w:footnote w:id="48">
    <w:p>
      <w:pPr>
        <w:pStyle w:val="FootnoteText"/>
      </w:pPr>
      <w:r>
        <w:rPr>
          <w:rStyle w:val="FootnoteReference"/>
        </w:rPr>
        <w:footnoteRef/>
      </w:r>
      <w:r>
        <w:rPr>
          <w:rFonts w:ascii="Times New Roman" w:hAnsi="Times New Roman"/>
        </w:rPr>
        <w:t xml:space="preserve"> Bħall-inizjattiva Franċiża msejħa “Cloud de Confiance” jew il-Programm Pollakk tal-Infrastruttura Komuni tal-IT tal-Istat (id-WIIP)</w:t>
      </w:r>
    </w:p>
  </w:footnote>
  <w:footnote w:id="49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B’mod partikolari l-kapaċitajiet appoġġati bl-inizjattiva EuroHPC. </w:t>
      </w:r>
    </w:p>
  </w:footnote>
  <w:footnote w:id="50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Pereżempju kif intwera bl-appoġġ tal-industrija għall-proġett Ġermaniż Gaia-X. </w:t>
      </w:r>
    </w:p>
  </w:footnote>
  <w:footnote w:id="51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Inizjattiva li tistimula l-federazzjoni tal-cloud mill-perspettiva Ġermaniża, ippreżentata mill-gvern Ġermaniż fid-29 ta’ Ottubru 2019. Il-proġett għandu l-għan li jipprovdi standards Ewropej u strutturi ta’ referenza biex jinħolqu “fornituri tal-iperskala virtwali” ibbażati fl-UE.</w:t>
      </w:r>
    </w:p>
  </w:footnote>
  <w:footnote w:id="52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Eżempji ta’ programmi simili tal-akkwist pubbliku f’dan il-qasam jistgħu jittieħdu mill-pajjiżi terzi, bħall-programm tal-akkwist pubbliku Amerikan imsejjaħ “FedRAMP”. Dan jipprovdi approċċ standardizzat għall-valutazzjoni, l-awtorizzazzjoni, u l-monitoraġġ kontinwu tas-sigurtà għall-prodotti u s-servizzi tal-cloud fl-aġenziji federali.</w:t>
      </w:r>
    </w:p>
  </w:footnote>
  <w:footnote w:id="53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Ara dan l-istudju: “Study on the economic detriment to SMEs arising from unfair and unbalanced cloud computing contracts”, (Studju dwar id-detriment ekonomiku għall-SMEs minħabba termini kuntrattwali inġusti u żbilanċjati tal-cloud computing)</w:t>
      </w:r>
      <w:hyperlink r:id="rId19" w:history="1">
        <w:r>
          <w:rPr>
            <w:rStyle w:val="Hyperlink"/>
            <w:rFonts w:ascii="Times New Roman" w:hAnsi="Times New Roman"/>
          </w:rPr>
          <w:t>https://ec.europa.eu/info/sites/info/files/dg_just_cloud_computing_final_report_web_final.pdf</w:t>
        </w:r>
      </w:hyperlink>
      <w:r>
        <w:rPr>
          <w:rFonts w:ascii="Times New Roman" w:hAnsi="Times New Roman"/>
        </w:rPr>
        <w:t>.</w:t>
      </w:r>
    </w:p>
  </w:footnote>
  <w:footnote w:id="5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Anki identitajiet diġitali siguri u użabbli universalment huma kruċjali biex l-individwi jkun jista’ jkollhom aċċess u kontroll fuq id-</w:t>
      </w:r>
      <w:r>
        <w:rPr>
          <w:rFonts w:ascii="Times New Roman" w:hAnsi="Times New Roman"/>
          <w:i/>
          <w:iCs/>
        </w:rPr>
        <w:t>data</w:t>
      </w:r>
      <w:r>
        <w:rPr>
          <w:rFonts w:ascii="Times New Roman" w:hAnsi="Times New Roman"/>
        </w:rPr>
        <w:t xml:space="preserve"> tagħhom.</w:t>
      </w:r>
    </w:p>
  </w:footnote>
  <w:footnote w:id="55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Il-lista tal-ispazji tad-</w:t>
      </w:r>
      <w:r>
        <w:rPr>
          <w:rFonts w:ascii="Times New Roman" w:hAnsi="Times New Roman"/>
          <w:i/>
          <w:iCs/>
        </w:rPr>
        <w:t>data</w:t>
      </w:r>
      <w:r>
        <w:rPr>
          <w:rFonts w:ascii="Times New Roman" w:hAnsi="Times New Roman"/>
        </w:rPr>
        <w:t xml:space="preserve"> settorjali mhix eżawrjenti u tista’ tiġi estiża.</w:t>
      </w:r>
    </w:p>
  </w:footnote>
  <w:footnote w:id="56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Bħal meta pereżempju, il-Brażil u l-Kenja adottaw regoli mmudellati fuq il-GDPR.</w:t>
      </w:r>
    </w:p>
  </w:footnote>
  <w:footnote w:id="57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Deloitte 2018. </w:t>
      </w:r>
    </w:p>
  </w:footnote>
  <w:footnote w:id="58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Ir-Regolament (KE) 715/2007. </w:t>
      </w:r>
    </w:p>
  </w:footnote>
  <w:footnote w:id="59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Kif jeżiġi l-Artikolu 61 tar-Regolament (UE) 2018/858. </w:t>
      </w:r>
    </w:p>
  </w:footnote>
  <w:footnote w:id="60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Analiżi fil-fond b’appoġġ għall-Komunikazzjoni tal-Kummissjoni COM(2018) 773 “Pjaneta Nadifa għal kulħadd: Viżjoni strateġika Ewropea fit-tul għal ekonomija għanja, moderna, kompetittiva u newtrali għall-klima”.</w:t>
      </w:r>
    </w:p>
  </w:footnote>
  <w:footnote w:id="61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Id-Direttiva 2005/44/KE.</w:t>
      </w:r>
    </w:p>
  </w:footnote>
  <w:footnote w:id="62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Id-Direttiva 2010/40/UE.</w:t>
      </w:r>
    </w:p>
  </w:footnote>
  <w:footnote w:id="63">
    <w:p>
      <w:pPr>
        <w:spacing w:after="0"/>
        <w:rPr>
          <w:rFonts w:ascii="Times New Roman" w:hAnsi="Times New Roman" w:cs="Times New Roman"/>
          <w:sz w:val="20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</w:rPr>
        <w:t xml:space="preserve">COM(2013) 410 final. </w:t>
      </w:r>
    </w:p>
  </w:footnote>
  <w:footnote w:id="64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Ir-Regolament (UE) 2019/1239. </w:t>
      </w:r>
    </w:p>
  </w:footnote>
  <w:footnote w:id="65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In-negozjati mal-koleġiżlaturi ġew konklużi, u l-adozzjoni hi prevista għal nofs l-2020. </w:t>
      </w:r>
    </w:p>
  </w:footnote>
  <w:footnote w:id="66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20" w:history="1">
        <w:r>
          <w:rPr>
            <w:rStyle w:val="Hyperlink"/>
            <w:rFonts w:ascii="Times New Roman" w:hAnsi="Times New Roman"/>
          </w:rPr>
          <w:t>https://ec.europa.eu/health/funding/programme_mt</w:t>
        </w:r>
      </w:hyperlink>
      <w:r>
        <w:rPr>
          <w:rFonts w:ascii="Times New Roman" w:hAnsi="Times New Roman"/>
        </w:rPr>
        <w:t>.</w:t>
      </w:r>
    </w:p>
  </w:footnote>
  <w:footnote w:id="67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L-Artikolu 24 tad-Direttiva (UE) 2019/944.</w:t>
      </w:r>
    </w:p>
  </w:footnote>
  <w:footnote w:id="68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Id-dikjarazzjoni ffirmawha 25 Stat Membru. Għal aktar tagħrif dwar id-dikjarazzjoni żur https://ec.europa.eu/digital-single-market/en/news/eu-member-states-join-forces-digitalisation-european-agriculture-and-rural-areas.</w:t>
      </w:r>
    </w:p>
  </w:footnote>
  <w:footnote w:id="69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Tenders Electronic Daily (TED). </w:t>
      </w:r>
    </w:p>
  </w:footnote>
  <w:footnote w:id="70"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Pereżempju dwar l-użu tal-identifikaturi ELI u ECLI u dwar il-pubblikazzjoni online tal-liġi bi traduzzjoni uffiċjali biex jiġi appoġġat l-użu ulterjuri tat-traduzzjoni awtomatika.</w:t>
      </w:r>
    </w:p>
  </w:footnote>
  <w:footnote w:id="71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Eżempju, il-Mudell tat-Tagħlim tal-Europass; il-Qafas Ewropew tal-Kwalifiki għat-tagħlim tul il-ħajja (il-QEK); il-Klassifikazzjoni Ewropea tal-Ħiliet, il-Kompetenzi, il-Kwalifiki u l-Impjiegi (l-ESCO), il-Qafas tal-Kompetenzi Diġitali (id-DigComp).</w:t>
      </w:r>
    </w:p>
  </w:footnote>
  <w:footnote w:id="72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COM(2018)22 final.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DD224C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/>
        <w:sz w:val="24"/>
        <w:szCs w:val="24"/>
      </w:rPr>
    </w:lvl>
    <w:lvl w:ilvl="3">
      <w:start w:val="1"/>
      <w:numFmt w:val="bullet"/>
      <w:pStyle w:val="Heading4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sz w:val="24"/>
        <w:szCs w:val="24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880"/>
        </w:tabs>
        <w:ind w:left="2880" w:hanging="719"/>
      </w:pPr>
      <w:rPr>
        <w:rFonts w:ascii="Arial" w:hAnsi="Arial" w:cs="Arial" w:hint="default"/>
        <w:b w:val="0"/>
        <w:i w:val="0"/>
        <w:sz w:val="2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4296" w:hanging="708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5004" w:hanging="708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712" w:hanging="708"/>
      </w:pPr>
      <w:rPr>
        <w:rFonts w:hint="default"/>
      </w:rPr>
    </w:lvl>
  </w:abstractNum>
  <w:abstractNum w:abstractNumId="1">
    <w:nsid w:val="047658F0"/>
    <w:multiLevelType w:val="hybridMultilevel"/>
    <w:tmpl w:val="AA24AB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90CE4"/>
    <w:multiLevelType w:val="hybridMultilevel"/>
    <w:tmpl w:val="686EA044"/>
    <w:lvl w:ilvl="0" w:tplc="56880A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794867"/>
    <w:multiLevelType w:val="hybridMultilevel"/>
    <w:tmpl w:val="E132C4F6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199B0C3E"/>
    <w:multiLevelType w:val="hybridMultilevel"/>
    <w:tmpl w:val="A8EABD8E"/>
    <w:lvl w:ilvl="0" w:tplc="08090015">
      <w:start w:val="1"/>
      <w:numFmt w:val="upperLetter"/>
      <w:lvlText w:val="%1."/>
      <w:lvlJc w:val="left"/>
      <w:pPr>
        <w:ind w:left="717" w:hanging="360"/>
      </w:p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A41735E"/>
    <w:multiLevelType w:val="multilevel"/>
    <w:tmpl w:val="60D65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CC43802"/>
    <w:multiLevelType w:val="hybridMultilevel"/>
    <w:tmpl w:val="230282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759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06CDF"/>
    <w:multiLevelType w:val="hybridMultilevel"/>
    <w:tmpl w:val="96084F2E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03964"/>
    <w:multiLevelType w:val="hybridMultilevel"/>
    <w:tmpl w:val="D22C8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D5692"/>
    <w:multiLevelType w:val="hybridMultilevel"/>
    <w:tmpl w:val="2D963D28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146" w:hanging="360"/>
      </w:pPr>
    </w:lvl>
    <w:lvl w:ilvl="2" w:tplc="0809001B">
      <w:start w:val="1"/>
      <w:numFmt w:val="lowerRoman"/>
      <w:lvlText w:val="%3."/>
      <w:lvlJc w:val="right"/>
      <w:pPr>
        <w:ind w:left="1866" w:hanging="180"/>
      </w:pPr>
    </w:lvl>
    <w:lvl w:ilvl="3" w:tplc="0809000F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>
    <w:nsid w:val="24FA4FE6"/>
    <w:multiLevelType w:val="hybridMultilevel"/>
    <w:tmpl w:val="AC2C8E1E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146" w:hanging="360"/>
      </w:pPr>
    </w:lvl>
    <w:lvl w:ilvl="2" w:tplc="0809001B">
      <w:start w:val="1"/>
      <w:numFmt w:val="lowerRoman"/>
      <w:lvlText w:val="%3."/>
      <w:lvlJc w:val="right"/>
      <w:pPr>
        <w:ind w:left="1866" w:hanging="180"/>
      </w:pPr>
    </w:lvl>
    <w:lvl w:ilvl="3" w:tplc="0809000F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>
    <w:nsid w:val="30CD52E9"/>
    <w:multiLevelType w:val="hybridMultilevel"/>
    <w:tmpl w:val="02FCB7A0"/>
    <w:lvl w:ilvl="0" w:tplc="0809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2">
    <w:nsid w:val="3CF554BF"/>
    <w:multiLevelType w:val="hybridMultilevel"/>
    <w:tmpl w:val="E08E4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360E7"/>
    <w:multiLevelType w:val="hybridMultilevel"/>
    <w:tmpl w:val="299EF6EE"/>
    <w:lvl w:ilvl="0" w:tplc="56880A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5C300D"/>
    <w:multiLevelType w:val="hybridMultilevel"/>
    <w:tmpl w:val="230282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759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129B3"/>
    <w:multiLevelType w:val="hybridMultilevel"/>
    <w:tmpl w:val="F3F21934"/>
    <w:lvl w:ilvl="0" w:tplc="56880A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412760"/>
    <w:multiLevelType w:val="hybridMultilevel"/>
    <w:tmpl w:val="09BA92F0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146" w:hanging="360"/>
      </w:pPr>
    </w:lvl>
    <w:lvl w:ilvl="2" w:tplc="0809001B">
      <w:start w:val="1"/>
      <w:numFmt w:val="lowerRoman"/>
      <w:lvlText w:val="%3."/>
      <w:lvlJc w:val="right"/>
      <w:pPr>
        <w:ind w:left="1866" w:hanging="180"/>
      </w:pPr>
    </w:lvl>
    <w:lvl w:ilvl="3" w:tplc="0809000F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>
    <w:nsid w:val="4AE62153"/>
    <w:multiLevelType w:val="hybridMultilevel"/>
    <w:tmpl w:val="C69E51B4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146" w:hanging="360"/>
      </w:pPr>
    </w:lvl>
    <w:lvl w:ilvl="2" w:tplc="0809001B">
      <w:start w:val="1"/>
      <w:numFmt w:val="lowerRoman"/>
      <w:lvlText w:val="%3."/>
      <w:lvlJc w:val="right"/>
      <w:pPr>
        <w:ind w:left="1866" w:hanging="180"/>
      </w:pPr>
    </w:lvl>
    <w:lvl w:ilvl="3" w:tplc="0809000F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59027D23"/>
    <w:multiLevelType w:val="hybridMultilevel"/>
    <w:tmpl w:val="EDAEF3C4"/>
    <w:lvl w:ilvl="0" w:tplc="56880A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FC4C3B"/>
    <w:multiLevelType w:val="hybridMultilevel"/>
    <w:tmpl w:val="FD6EFB12"/>
    <w:lvl w:ilvl="0" w:tplc="33BE6D2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EEC32C7"/>
    <w:multiLevelType w:val="hybridMultilevel"/>
    <w:tmpl w:val="58A079EE"/>
    <w:lvl w:ilvl="0" w:tplc="5F34E09C">
      <w:start w:val="1"/>
      <w:numFmt w:val="lowerLetter"/>
      <w:lvlText w:val="%1)"/>
      <w:lvlJc w:val="left"/>
      <w:pPr>
        <w:ind w:left="-447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273" w:hanging="360"/>
      </w:pPr>
    </w:lvl>
    <w:lvl w:ilvl="2" w:tplc="0809001B">
      <w:start w:val="1"/>
      <w:numFmt w:val="lowerRoman"/>
      <w:lvlText w:val="%3."/>
      <w:lvlJc w:val="right"/>
      <w:pPr>
        <w:ind w:left="993" w:hanging="180"/>
      </w:pPr>
    </w:lvl>
    <w:lvl w:ilvl="3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2433" w:hanging="360"/>
      </w:pPr>
    </w:lvl>
    <w:lvl w:ilvl="5" w:tplc="0809001B" w:tentative="1">
      <w:start w:val="1"/>
      <w:numFmt w:val="lowerRoman"/>
      <w:lvlText w:val="%6."/>
      <w:lvlJc w:val="right"/>
      <w:pPr>
        <w:ind w:left="3153" w:hanging="180"/>
      </w:pPr>
    </w:lvl>
    <w:lvl w:ilvl="6" w:tplc="0809000F" w:tentative="1">
      <w:start w:val="1"/>
      <w:numFmt w:val="decimal"/>
      <w:lvlText w:val="%7."/>
      <w:lvlJc w:val="left"/>
      <w:pPr>
        <w:ind w:left="3873" w:hanging="360"/>
      </w:pPr>
    </w:lvl>
    <w:lvl w:ilvl="7" w:tplc="08090019" w:tentative="1">
      <w:start w:val="1"/>
      <w:numFmt w:val="lowerLetter"/>
      <w:lvlText w:val="%8."/>
      <w:lvlJc w:val="left"/>
      <w:pPr>
        <w:ind w:left="4593" w:hanging="360"/>
      </w:pPr>
    </w:lvl>
    <w:lvl w:ilvl="8" w:tplc="0809001B" w:tentative="1">
      <w:start w:val="1"/>
      <w:numFmt w:val="lowerRoman"/>
      <w:lvlText w:val="%9."/>
      <w:lvlJc w:val="right"/>
      <w:pPr>
        <w:ind w:left="5313" w:hanging="180"/>
      </w:pPr>
    </w:lvl>
  </w:abstractNum>
  <w:abstractNum w:abstractNumId="21">
    <w:nsid w:val="764F76DA"/>
    <w:multiLevelType w:val="hybridMultilevel"/>
    <w:tmpl w:val="F3AEDA8E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146" w:hanging="360"/>
      </w:pPr>
    </w:lvl>
    <w:lvl w:ilvl="2" w:tplc="0809001B">
      <w:start w:val="1"/>
      <w:numFmt w:val="lowerRoman"/>
      <w:lvlText w:val="%3."/>
      <w:lvlJc w:val="right"/>
      <w:pPr>
        <w:ind w:left="1866" w:hanging="180"/>
      </w:pPr>
    </w:lvl>
    <w:lvl w:ilvl="3" w:tplc="0809000F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>
    <w:nsid w:val="7B7E6FF9"/>
    <w:multiLevelType w:val="hybridMultilevel"/>
    <w:tmpl w:val="05365EC8"/>
    <w:lvl w:ilvl="0" w:tplc="56880A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937A12"/>
    <w:multiLevelType w:val="hybridMultilevel"/>
    <w:tmpl w:val="413C2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0"/>
  </w:num>
  <w:num w:numId="5">
    <w:abstractNumId w:val="2"/>
  </w:num>
  <w:num w:numId="6">
    <w:abstractNumId w:val="15"/>
  </w:num>
  <w:num w:numId="7">
    <w:abstractNumId w:val="6"/>
  </w:num>
  <w:num w:numId="8">
    <w:abstractNumId w:val="22"/>
  </w:num>
  <w:num w:numId="9">
    <w:abstractNumId w:val="18"/>
  </w:num>
  <w:num w:numId="10">
    <w:abstractNumId w:val="19"/>
  </w:num>
  <w:num w:numId="11">
    <w:abstractNumId w:val="13"/>
  </w:num>
  <w:num w:numId="12">
    <w:abstractNumId w:val="1"/>
  </w:num>
  <w:num w:numId="13">
    <w:abstractNumId w:val="3"/>
  </w:num>
  <w:num w:numId="14">
    <w:abstractNumId w:val="17"/>
  </w:num>
  <w:num w:numId="15">
    <w:abstractNumId w:val="16"/>
  </w:num>
  <w:num w:numId="16">
    <w:abstractNumId w:val="9"/>
  </w:num>
  <w:num w:numId="17">
    <w:abstractNumId w:val="10"/>
  </w:num>
  <w:num w:numId="18">
    <w:abstractNumId w:val="23"/>
  </w:num>
  <w:num w:numId="19">
    <w:abstractNumId w:val="21"/>
  </w:num>
  <w:num w:numId="20">
    <w:abstractNumId w:val="8"/>
  </w:num>
  <w:num w:numId="21">
    <w:abstractNumId w:val="11"/>
  </w:num>
  <w:num w:numId="22">
    <w:abstractNumId w:val="14"/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ctiveWritingStyle w:appName="MSWord" w:lang="pt-P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BE" w:vendorID="64" w:dllVersion="6" w:nlCheck="1" w:checkStyle="0"/>
  <w:activeWritingStyle w:appName="MSWord" w:lang="fr-FR" w:vendorID="64" w:dllVersion="6" w:nlCheck="1" w:checkStyle="0"/>
  <w:activeWritingStyle w:appName="MSWord" w:lang="de-CH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131078" w:nlCheck="1" w:checkStyle="1"/>
  <w:activeWritingStyle w:appName="MSWord" w:lang="en-IE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BE" w:vendorID="64" w:dllVersion="131078" w:nlCheck="1" w:checkStyle="0"/>
  <w:activeWritingStyle w:appName="MSWord" w:lang="pt-PT" w:vendorID="64" w:dllVersion="131078" w:nlCheck="1" w:checkStyle="0"/>
  <w:activeWritingStyle w:appName="MSWord" w:lang="de-CH" w:vendorID="64" w:dllVersion="131078" w:nlCheck="1" w:checkStyle="0"/>
  <w:activeWritingStyle w:appName="MSWord" w:lang="it-IT" w:vendorID="64" w:dllVersion="131078" w:nlCheck="1" w:checkStyle="0"/>
  <w:revisionView w:markup="0"/>
  <w:doNotTrackMoves/>
  <w:documentProtection w:edit="readOnly" w:enforcement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DocStatus" w:val="Green"/>
    <w:docVar w:name="LW_CORRIGENDUM" w:val="&lt;UNUSED&gt;"/>
    <w:docVar w:name="LW_COVERPAGE_EXISTS" w:val="True"/>
    <w:docVar w:name="LW_COVERPAGE_GUID" w:val="2D9217CB-CC44-4719-822F-E431700C3440"/>
    <w:docVar w:name="LW_COVERPAGE_TYPE" w:val="1"/>
    <w:docVar w:name="LW_CROSSREFERENCE" w:val="&lt;UNUSED&gt;"/>
    <w:docVar w:name="LW_DocType" w:val="NORMAL"/>
    <w:docVar w:name="LW_EMISSION" w:val="19.2.2020"/>
    <w:docVar w:name="LW_EMISSION_ISODATE" w:val="2020-02-19"/>
    <w:docVar w:name="LW_EMISSION_LOCATION" w:val="BRX"/>
    <w:docVar w:name="LW_EMISSION_PREFIX" w:val="Brussell, "/>
    <w:docVar w:name="LW_EMISSION_SUFFIX" w:val=" "/>
    <w:docVar w:name="LW_ID_DOCTYPE_NONLW" w:val="CP-014"/>
    <w:docVar w:name="LW_LANGUE" w:val="MT"/>
    <w:docVar w:name="LW_LEVEL_OF_SENSITIVITY" w:val="Standard treatment"/>
    <w:docVar w:name="LW_NOM.INST" w:val="IL-KUMMISSJONI EWROPEA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6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OUS.TITRE.OBJ.CP" w:val="&lt;UNUSED&gt;"/>
    <w:docVar w:name="LW_SUPERTITRE" w:val="&lt;UNUSED&gt;"/>
    <w:docVar w:name="LW_TITRE.OBJ.CP" w:val="&lt;FMT:Bold&gt;Strate\u289?ija Ewropea g\u295?ad-&lt;/FMT&gt;&lt;FMT:Bold,Italic&gt;data&lt;/FMT&gt;"/>
    <w:docVar w:name="LW_TYPE.DOC.CP" w:val="KOMUNIKAZZJONI TAL-KUMMISSJONI LILL-PARLAMENT EWROPEW, LILL-KUNSILL, LILL-KUMITAT EKONOMIKU U SO\u266?JALI EWROPEW U LILL-KUMITAT TAR-RE\u288?JUNI"/>
    <w:docVar w:name="LW_TYPE.DOC.CP.USERTEXT" w:val="&lt;EMPTY&gt;"/>
  </w:docVar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overflowPunct w:val="0"/>
      <w:autoSpaceDE w:val="0"/>
      <w:autoSpaceDN w:val="0"/>
      <w:adjustRightInd w:val="0"/>
      <w:spacing w:after="270" w:line="240" w:lineRule="exact"/>
      <w:textAlignment w:val="baseline"/>
      <w:outlineLvl w:val="0"/>
    </w:pPr>
    <w:rPr>
      <w:rFonts w:ascii="Times New Roman" w:eastAsia="Times New Roman" w:hAnsi="Times New Roman" w:cs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pPr>
      <w:numPr>
        <w:ilvl w:val="3"/>
        <w:numId w:val="2"/>
      </w:numPr>
      <w:overflowPunct w:val="0"/>
      <w:autoSpaceDE w:val="0"/>
      <w:autoSpaceDN w:val="0"/>
      <w:adjustRightInd w:val="0"/>
      <w:spacing w:after="270" w:line="240" w:lineRule="exact"/>
      <w:jc w:val="both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2"/>
      </w:numPr>
      <w:overflowPunct w:val="0"/>
      <w:autoSpaceDE w:val="0"/>
      <w:autoSpaceDN w:val="0"/>
      <w:adjustRightInd w:val="0"/>
      <w:spacing w:after="270" w:line="240" w:lineRule="exact"/>
      <w:jc w:val="both"/>
      <w:textAlignment w:val="baseline"/>
      <w:outlineLvl w:val="4"/>
    </w:pPr>
    <w:rPr>
      <w:rFonts w:ascii="Arial" w:eastAsia="Times New Roman" w:hAnsi="Arial" w:cs="Arial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2"/>
      </w:numPr>
      <w:overflowPunct w:val="0"/>
      <w:autoSpaceDE w:val="0"/>
      <w:autoSpaceDN w:val="0"/>
      <w:adjustRightInd w:val="0"/>
      <w:spacing w:after="270" w:line="240" w:lineRule="exact"/>
      <w:jc w:val="both"/>
      <w:textAlignment w:val="baseline"/>
      <w:outlineLvl w:val="5"/>
    </w:pPr>
    <w:rPr>
      <w:rFonts w:ascii="Arial" w:eastAsia="Times New Roman" w:hAnsi="Arial" w:cs="Arial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2"/>
      </w:numPr>
      <w:overflowPunct w:val="0"/>
      <w:autoSpaceDE w:val="0"/>
      <w:autoSpaceDN w:val="0"/>
      <w:adjustRightInd w:val="0"/>
      <w:spacing w:before="240" w:after="60" w:line="240" w:lineRule="exact"/>
      <w:jc w:val="both"/>
      <w:textAlignment w:val="baseline"/>
      <w:outlineLvl w:val="6"/>
    </w:pPr>
    <w:rPr>
      <w:rFonts w:ascii="Arial" w:eastAsia="Times New Roman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2"/>
      </w:numPr>
      <w:overflowPunct w:val="0"/>
      <w:autoSpaceDE w:val="0"/>
      <w:autoSpaceDN w:val="0"/>
      <w:adjustRightInd w:val="0"/>
      <w:spacing w:before="240" w:after="60" w:line="240" w:lineRule="exact"/>
      <w:jc w:val="both"/>
      <w:textAlignment w:val="baseline"/>
      <w:outlineLvl w:val="7"/>
    </w:pPr>
    <w:rPr>
      <w:rFonts w:ascii="Arial" w:eastAsia="Times New Roman" w:hAnsi="Arial" w:cs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2"/>
      </w:numPr>
      <w:overflowPunct w:val="0"/>
      <w:autoSpaceDE w:val="0"/>
      <w:autoSpaceDN w:val="0"/>
      <w:adjustRightInd w:val="0"/>
      <w:spacing w:before="240" w:after="60" w:line="240" w:lineRule="exact"/>
      <w:jc w:val="both"/>
      <w:textAlignment w:val="baseline"/>
      <w:outlineLvl w:val="8"/>
    </w:pPr>
    <w:rPr>
      <w:rFonts w:ascii="Arial" w:eastAsia="Times New Roman" w:hAnsi="Arial" w:cs="Arial"/>
      <w:b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aliases w:val="Normal bullet 2,Bullet list,Numbered List,List Paragraph1,1st level - Bullet List Paragraph,Lettre d'introduction,Paragrafo elenco,Fiche List Paragraph,Task Body,Viñetas (Inicio Parrafo),3 Txt tabla,Zerrenda-paragrafoa,Dot pt"/>
    <w:basedOn w:val="Normal"/>
    <w:link w:val="ListParagraphChar"/>
    <w:uiPriority w:val="34"/>
    <w:qFormat/>
    <w:pPr>
      <w:ind w:left="720"/>
      <w:contextualSpacing/>
    </w:pPr>
  </w:style>
  <w:style w:type="paragraph" w:styleId="FootnoteText">
    <w:name w:val="footnote text"/>
    <w:aliases w:val="Char,Fußnote,Carattere,fn,Footnotes,Footnote ak,Footnote Text Char1,Footnote Text Char Char,fn Char Char,footnote text Char Char,Footnotes Char Char,Footnote ak Char Char,fn Char1,footnote text Char1,Footnotes Char1,ft,Fußnotentextf,Fußn"/>
    <w:basedOn w:val="Normal"/>
    <w:link w:val="FootnoteTextChar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Char Char,Fußnote Char,Carattere Char,fn Char,Footnotes Char,Footnote ak Char,Footnote Text Char1 Char,Footnote Text Char Char Char,fn Char Char Char,footnote text Char Char Char,Footnotes Char Char Char,Footnote ak Char Char Char"/>
    <w:basedOn w:val="DefaultParagraphFont"/>
    <w:link w:val="FootnoteText"/>
    <w:uiPriority w:val="99"/>
    <w:qFormat/>
    <w:rPr>
      <w:sz w:val="20"/>
      <w:szCs w:val="20"/>
    </w:rPr>
  </w:style>
  <w:style w:type="character" w:styleId="FootnoteReference">
    <w:name w:val="footnote reference"/>
    <w:aliases w:val="Footnote Reference Superscript,BVI fnr, BVI fnr,Footnote symbol,Footnote reference number,note TESI,Appel note de bas de p,Nota,SUPERS,Footnote number,EN Footnote Reference,-E Fußnotenzeichen,number Char Char,number,Ref,styl,FR,styli"/>
    <w:basedOn w:val="DefaultParagraphFont"/>
    <w:link w:val="FootnotesymbolCarZchn"/>
    <w:uiPriority w:val="99"/>
    <w:unhideWhenUsed/>
    <w:qFormat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qFormat/>
    <w:pPr>
      <w:spacing w:after="160" w:line="240" w:lineRule="exact"/>
      <w:jc w:val="both"/>
    </w:pPr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C Square Sans Cond Pro" w:hAnsi="EC Square Sans Cond Pro" w:cs="EC Square Sans Cond Pro"/>
      <w:color w:val="000000"/>
      <w:sz w:val="24"/>
      <w:szCs w:val="24"/>
    </w:rPr>
  </w:style>
  <w:style w:type="paragraph" w:customStyle="1" w:styleId="Source">
    <w:name w:val="Source"/>
    <w:basedOn w:val="Normal"/>
    <w:link w:val="SourceChar"/>
    <w:qFormat/>
    <w:pPr>
      <w:spacing w:before="60" w:after="110" w:line="220" w:lineRule="exact"/>
      <w:ind w:left="357" w:right="2160"/>
      <w:jc w:val="both"/>
    </w:pPr>
    <w:rPr>
      <w:rFonts w:ascii="Arial" w:hAnsi="Arial" w:cs="Arial"/>
      <w:sz w:val="18"/>
      <w:szCs w:val="18"/>
    </w:rPr>
  </w:style>
  <w:style w:type="character" w:customStyle="1" w:styleId="SourceChar">
    <w:name w:val="Source Char"/>
    <w:basedOn w:val="DefaultParagraphFont"/>
    <w:link w:val="Source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white-space">
    <w:name w:val="white-space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bumpedfont15">
    <w:name w:val="bumpedfont15"/>
    <w:basedOn w:val="DefaultParagraphFont"/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spacing w:after="120" w:line="256" w:lineRule="auto"/>
    </w:pPr>
    <w:rPr>
      <w:color w:val="595959" w:themeColor="text1" w:themeTint="A6"/>
      <w:sz w:val="30"/>
      <w:szCs w:val="30"/>
      <w:lang w:eastAsia="ja-JP"/>
    </w:rPr>
  </w:style>
  <w:style w:type="paragraph" w:customStyle="1" w:styleId="FootnotesymbolCharCharCharChar">
    <w:name w:val="Footnote symbol Char Char Char Char"/>
    <w:aliases w:val="Voetnootverwijzing Char Char Char Char,Times 10 Point Char Char Char Char,Exposant 3 Point Char Char Char Char,Footnote Reference Superscript Char Char Char Cha"/>
    <w:basedOn w:val="Normal"/>
    <w:uiPriority w:val="99"/>
    <w:pPr>
      <w:spacing w:after="160" w:line="240" w:lineRule="exact"/>
    </w:pPr>
    <w:rPr>
      <w:vertAlign w:val="superscript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FootnoteReferenceSuperscriptZchn">
    <w:name w:val="Footnote Reference Superscript Zchn"/>
    <w:aliases w:val="BVI fnr Zchn, BVI fnr Zchn,Footnote symbol Zchn,Footnote reference number Zchn,note TESI Zchn,Appel note de bas de p Zchn,Nota Zchn,SUPERS Zchn,Footnote number Zchn,EN Footnote Reference Zchn"/>
    <w:basedOn w:val="Normal"/>
    <w:uiPriority w:val="99"/>
    <w:pPr>
      <w:spacing w:after="160" w:line="240" w:lineRule="exact"/>
      <w:jc w:val="both"/>
    </w:pPr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5Normal">
    <w:name w:val="5 Normal"/>
    <w:basedOn w:val="Normal"/>
    <w:link w:val="5NormalChar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ind w:right="57"/>
      <w:jc w:val="both"/>
    </w:pPr>
    <w:rPr>
      <w:rFonts w:ascii="Verdana" w:eastAsia="Times New Roman" w:hAnsi="Verdana" w:cs="Times New Roman"/>
      <w:spacing w:val="-2"/>
      <w:sz w:val="20"/>
      <w:szCs w:val="24"/>
      <w:lang w:eastAsia="en-GB"/>
    </w:rPr>
  </w:style>
  <w:style w:type="character" w:customStyle="1" w:styleId="5NormalChar">
    <w:name w:val="5 Normal Char"/>
    <w:link w:val="5Normal"/>
    <w:locked/>
    <w:rPr>
      <w:rFonts w:ascii="Verdana" w:eastAsia="Times New Roman" w:hAnsi="Verdana" w:cs="Times New Roman"/>
      <w:spacing w:val="-2"/>
      <w:sz w:val="20"/>
      <w:szCs w:val="24"/>
      <w:lang w:eastAsia="en-GB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ListParagraphChar">
    <w:name w:val="List Paragraph Char"/>
    <w:aliases w:val="Normal bullet 2 Char,Bullet list Char,Numbered List Char,List Paragraph1 Char,1st level - Bullet List Paragraph Char,Lettre d'introduction Char,Paragrafo elenco Char,Fiche List Paragraph Char,Task Body Char,3 Txt tabla Char"/>
    <w:basedOn w:val="DefaultParagraphFont"/>
    <w:link w:val="ListParagraph"/>
    <w:uiPriority w:val="34"/>
    <w:qFormat/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sz w:val="16"/>
      <w:szCs w:val="16"/>
    </w:rPr>
  </w:style>
  <w:style w:type="character" w:customStyle="1" w:styleId="st1">
    <w:name w:val="st1"/>
    <w:basedOn w:val="DefaultParagraphFont"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Arial"/>
      <w:b/>
      <w:kern w:val="28"/>
      <w:sz w:val="28"/>
      <w:szCs w:val="20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Arial"/>
      <w:sz w:val="20"/>
      <w:szCs w:val="20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Arial"/>
      <w:sz w:val="20"/>
      <w:szCs w:val="20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Arial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Arial"/>
      <w:b/>
      <w:i/>
      <w:sz w:val="18"/>
      <w:szCs w:val="20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essuno">
    <w:name w:val="Nessuno"/>
    <w:rPr>
      <w:lang w:val="mt-MT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Lucida Grande" w:hAnsi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36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header" Target="header8.xml"/><Relationship Id="rId30" Type="http://schemas.openxmlformats.org/officeDocument/2006/relationships/header" Target="header9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c.gov.au/focus-areas/consumer-data-right-cdr-0" TargetMode="External"/><Relationship Id="rId13" Type="http://schemas.openxmlformats.org/officeDocument/2006/relationships/hyperlink" Target="https://www.health-data-hub.fr/" TargetMode="External"/><Relationship Id="rId18" Type="http://schemas.openxmlformats.org/officeDocument/2006/relationships/hyperlink" Target="https://ec.europa.eu/research/openscience/index.cfm?pg=open-science-cloud" TargetMode="External"/><Relationship Id="rId3" Type="http://schemas.openxmlformats.org/officeDocument/2006/relationships/hyperlink" Target="https://ec.europa.eu/digital-single-market/news-redirect/666643" TargetMode="External"/><Relationship Id="rId7" Type="http://schemas.openxmlformats.org/officeDocument/2006/relationships/hyperlink" Target="https://ec.europa.eu/eurostat/statistics-explained/index.php/Cloud_computing_-_statistics_on_the_use_by_enterprises" TargetMode="External"/><Relationship Id="rId12" Type="http://schemas.openxmlformats.org/officeDocument/2006/relationships/hyperlink" Target="https://radicalxchange.org/" TargetMode="External"/><Relationship Id="rId17" Type="http://schemas.openxmlformats.org/officeDocument/2006/relationships/hyperlink" Target="https://data.europa.eu/euodp/en/data/" TargetMode="External"/><Relationship Id="rId2" Type="http://schemas.openxmlformats.org/officeDocument/2006/relationships/hyperlink" Target="https://www.europeandataportal.eu/en/using-data/use-cases" TargetMode="External"/><Relationship Id="rId16" Type="http://schemas.openxmlformats.org/officeDocument/2006/relationships/hyperlink" Target="https://swipo.eu/" TargetMode="External"/><Relationship Id="rId20" Type="http://schemas.openxmlformats.org/officeDocument/2006/relationships/hyperlink" Target="https://ec.europa.eu/health/funding/programme_mt" TargetMode="External"/><Relationship Id="rId1" Type="http://schemas.openxmlformats.org/officeDocument/2006/relationships/hyperlink" Target="https://ec.europa.eu/digital-single-market/en/news/practical-guidance-businesses-how-process-mixed-datasets" TargetMode="External"/><Relationship Id="rId6" Type="http://schemas.openxmlformats.org/officeDocument/2006/relationships/hyperlink" Target="https://ec.europa.eu/digital-single-market/en/news/report-european-commissions-workshops-common-european-data-spaces" TargetMode="External"/><Relationship Id="rId11" Type="http://schemas.openxmlformats.org/officeDocument/2006/relationships/hyperlink" Target="https://solid.mit.edu/" TargetMode="External"/><Relationship Id="rId5" Type="http://schemas.openxmlformats.org/officeDocument/2006/relationships/hyperlink" Target="https://ec.europa.eu/isa2/eif_en" TargetMode="External"/><Relationship Id="rId15" Type="http://schemas.openxmlformats.org/officeDocument/2006/relationships/hyperlink" Target="https://www.force11.org/group/fairgroup/fairprinciples" TargetMode="External"/><Relationship Id="rId10" Type="http://schemas.openxmlformats.org/officeDocument/2006/relationships/hyperlink" Target="https://www.decodeproject.eu/" TargetMode="External"/><Relationship Id="rId19" Type="http://schemas.openxmlformats.org/officeDocument/2006/relationships/hyperlink" Target="https://ec.europa.eu/info/sites/info/files/dg_just_cloud_computing_final_report_web_final.pdf" TargetMode="External"/><Relationship Id="rId4" Type="http://schemas.openxmlformats.org/officeDocument/2006/relationships/hyperlink" Target="https://ec.europa.eu/digital-single-market/en/news/rolling-plan-ict-standardisation" TargetMode="External"/><Relationship Id="rId9" Type="http://schemas.openxmlformats.org/officeDocument/2006/relationships/hyperlink" Target="https://mydata.org/" TargetMode="External"/><Relationship Id="rId14" Type="http://schemas.openxmlformats.org/officeDocument/2006/relationships/hyperlink" Target="https://www.forschungsdatenzentrum.de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33CE8E76DF1EC14FB803D6FF12E6DEFF" ma:contentTypeVersion="9" ma:contentTypeDescription="Create a new document." ma:contentTypeScope="" ma:versionID="bce2b482114eb32cf30f053350693ec4">
  <xsd:schema xmlns:xsd="http://www.w3.org/2001/XMLSchema" xmlns:xs="http://www.w3.org/2001/XMLSchema" xmlns:p="http://schemas.microsoft.com/office/2006/metadata/properties" xmlns:ns3="8a4779a7-a821-41bc-9264-6a7285c3b1da" xmlns:ns4="866aabb8-7ec2-447a-a7ff-f911015037e7" targetNamespace="http://schemas.microsoft.com/office/2006/metadata/properties" ma:root="true" ma:fieldsID="4838d94350bd37eefc22bf8610b88a32" ns3:_="" ns4:_="">
    <xsd:import namespace="8a4779a7-a821-41bc-9264-6a7285c3b1da"/>
    <xsd:import namespace="866aabb8-7ec2-447a-a7ff-f911015037e7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779a7-a821-41bc-9264-6a7285c3b1da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nillable="true" ma:displayName="Language" ma:default="EN" ma:internalName="EC_Collab_DocumentLanguage" ma:readOnly="fals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aabb8-7ec2-447a-a7ff-f911015037e7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Reference xmlns="8a4779a7-a821-41bc-9264-6a7285c3b1da" xsi:nil="true"/>
    <EC_Collab_DocumentLanguage xmlns="8a4779a7-a821-41bc-9264-6a7285c3b1da">EN</EC_Collab_DocumentLanguage>
    <_dlc_DocId xmlns="866aabb8-7ec2-447a-a7ff-f911015037e7">UVNUSV5RWJH5-815657195-756</_dlc_DocId>
    <_dlc_DocIdUrl xmlns="866aabb8-7ec2-447a-a7ff-f911015037e7">
      <Url>https://myintracomm-collab.ec.europa.eu/dg/CONNECT/directorateG/UnitG1/_layouts/15/DocIdRedir.aspx?ID=UVNUSV5RWJH5-815657195-756</Url>
      <Description>UVNUSV5RWJH5-815657195-756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175B-C149-40B3-A97B-D9F93F906C9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D2F0BA-B41C-4C3C-B73C-F014F74B3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779a7-a821-41bc-9264-6a7285c3b1da"/>
    <ds:schemaRef ds:uri="866aabb8-7ec2-447a-a7ff-f91101503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81C55-F920-42E5-B66B-4364D8B0A6E7}">
  <ds:schemaRefs>
    <ds:schemaRef ds:uri="http://purl.org/dc/terms/"/>
    <ds:schemaRef ds:uri="8a4779a7-a821-41bc-9264-6a7285c3b1d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66aabb8-7ec2-447a-a7ff-f911015037e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F28479-C5C3-4AE8-A148-DC00C9BFFD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C65ABA-70B4-489E-8A4D-6ED94DDB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33</Pages>
  <Words>11592</Words>
  <Characters>85785</Characters>
  <Application>Microsoft Office Word</Application>
  <DocSecurity>0</DocSecurity>
  <Lines>1114</Lines>
  <Paragraphs>275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Chapeau COM version for ISC</vt:lpstr>
      <vt:lpstr>Chapeau COM version for ISC</vt:lpstr>
    </vt:vector>
  </TitlesOfParts>
  <Manager/>
  <Company/>
  <LinksUpToDate>false</LinksUpToDate>
  <CharactersWithSpaces>97102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Chapeau COM version for ISC</dc:title>
  <dc:creator/>
  <cp:lastModifiedBy>WES PDFC Administrator</cp:lastModifiedBy>
  <cp:revision>19</cp:revision>
  <cp:lastPrinted>2020-02-17T08:50:00Z</cp:lastPrinted>
  <dcterms:created xsi:type="dcterms:W3CDTF">2020-02-18T12:07:00Z</dcterms:created>
  <dcterms:modified xsi:type="dcterms:W3CDTF">2020-02-28T08:48:00Z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Level of sensitivity">
    <vt:lpwstr>Standard treatment</vt:lpwstr>
  </property>
  <property fmtid="{D5CDD505-2E9C-101B-9397-08002B2CF9AE}" pid="6" name="Last edited using">
    <vt:lpwstr>LW 7.0, Build 20190717</vt:lpwstr>
  </property>
  <property fmtid="{D5CDD505-2E9C-101B-9397-08002B2CF9AE}" pid="7" name="CPTemplateID">
    <vt:lpwstr>CP-014</vt:lpwstr>
  </property>
  <property fmtid="{D5CDD505-2E9C-101B-9397-08002B2CF9AE}" pid="8" name="_dlc_DocIdItemGuid">
    <vt:lpwstr>c40c81d9-c0fb-4d65-a5cc-e6450fdccb56</vt:lpwstr>
  </property>
  <property fmtid="{D5CDD505-2E9C-101B-9397-08002B2CF9AE}" pid="9" name="_LW_INVALIDATED__LW_INVALIDATED__LW_INVALIDATED__LW_INVALIDATED__LW_INVALIDATED__LW_INVALIDATED__LW_INVALIDATED__LW_INVALIDATED_ContentTypeId">
    <vt:lpwstr>0x010100258AA79CEB83498886A3A086811232500033CE8E76DF1EC14FB803D6FF12E6DEFF</vt:lpwstr>
  </property>
  <property fmtid="{D5CDD505-2E9C-101B-9397-08002B2CF9AE}" pid="10" name="_LW_INVALIDATED__LW_INVALIDATED__LW_INVALIDATED__LW_INVALIDATED__LW_INVALIDATED_ContentTypeId">
    <vt:lpwstr>0x010100258AA79CEB83498886A3A086811232500033CE8E76DF1EC14FB803D6FF12E6DEFF</vt:lpwstr>
  </property>
</Properties>
</file>